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964AB" w14:textId="7FA88816" w:rsidR="00301F26" w:rsidRDefault="00301F26">
      <w:pPr>
        <w:pStyle w:val="CourtHeader"/>
        <w:rPr>
          <w:lang w:val="uk-UA"/>
        </w:rPr>
      </w:pPr>
      <w:r>
        <w:rPr>
          <w:lang w:val="uk-UA"/>
        </w:rPr>
        <w:t xml:space="preserve">Link do postanowienia w sprawie:  </w:t>
      </w:r>
      <w:hyperlink r:id="rId8" w:history="1">
        <w:r>
          <w:rPr>
            <w:rStyle w:val="affa"/>
            <w:lang w:val="uk-UA"/>
          </w:rPr>
          <w:t>https://reyestr.court.gov.ua/Review/127077660</w:t>
        </w:r>
      </w:hyperlink>
    </w:p>
    <w:p w14:paraId="360E18DC" w14:textId="2D549E9B" w:rsidR="00301F26" w:rsidRDefault="00301F26">
      <w:pPr>
        <w:pStyle w:val="CourtHeader"/>
        <w:rPr>
          <w:lang w:val="uk-UA"/>
        </w:rPr>
      </w:pPr>
      <w:r>
        <w:rPr>
          <w:lang w:val="uk-UA"/>
        </w:rPr>
        <w:t xml:space="preserve">Link do zdania odrębnego w sprawie:   </w:t>
      </w:r>
      <w:hyperlink r:id="rId9" w:history="1">
        <w:r>
          <w:rPr>
            <w:rStyle w:val="affa"/>
            <w:lang w:val="uk-UA"/>
          </w:rPr>
          <w:t>https://reyestr.court.gov.ua/Review/127297934</w:t>
        </w:r>
      </w:hyperlink>
    </w:p>
    <w:p w14:paraId="1F5DA2B3" w14:textId="77777777" w:rsidR="00301F26" w:rsidRDefault="00301F26">
      <w:pPr>
        <w:pStyle w:val="CourtHeader"/>
        <w:rPr>
          <w:lang w:val="uk-UA"/>
        </w:rPr>
      </w:pPr>
    </w:p>
    <w:p w14:paraId="45BA683D" w14:textId="77777777" w:rsidR="00301F26" w:rsidRDefault="00301F26">
      <w:pPr>
        <w:pStyle w:val="CourtHeader"/>
        <w:rPr>
          <w:lang w:val="uk-UA"/>
        </w:rPr>
      </w:pPr>
    </w:p>
    <w:p w14:paraId="494A5F34" w14:textId="77777777" w:rsidR="00F33CF3" w:rsidRPr="00F33CF3" w:rsidRDefault="00F33CF3" w:rsidP="00F33CF3">
      <w:pPr>
        <w:pStyle w:val="CourtHeader"/>
        <w:rPr>
          <w:lang w:val="ru-RU"/>
        </w:rPr>
      </w:pPr>
      <w:r>
        <w:rPr>
          <w:lang w:val="pl-PL"/>
        </w:rPr>
        <w:t xml:space="preserve">PROJEKT</w:t>
      </w:r>
    </w:p>
    <w:p w14:paraId="45332E79" w14:textId="77777777" w:rsidR="00F33CF3" w:rsidRPr="00F33CF3" w:rsidRDefault="00F33CF3" w:rsidP="00F33CF3">
      <w:pPr>
        <w:pStyle w:val="CourtHeader"/>
        <w:rPr>
          <w:lang w:val="ru-RU"/>
        </w:rPr>
      </w:pPr>
      <w:r>
        <w:rPr>
          <w:lang w:val="pl-PL"/>
        </w:rPr>
        <w:t xml:space="preserve">POSTANOWIENIE</w:t>
      </w:r>
    </w:p>
    <w:p w14:paraId="578AB6F7" w14:textId="77777777" w:rsidR="00F33CF3" w:rsidRPr="00F33CF3" w:rsidRDefault="00F33CF3" w:rsidP="00F33CF3">
      <w:pPr>
        <w:pStyle w:val="CourtHeader"/>
        <w:rPr>
          <w:lang w:val="ru-RU"/>
        </w:rPr>
      </w:pPr>
      <w:r>
        <w:rPr>
          <w:lang w:val="pl-PL"/>
        </w:rPr>
        <w:t xml:space="preserve">W IMIENIU UKRAINY</w:t>
      </w:r>
    </w:p>
    <w:p w14:paraId="7F9A07DB" w14:textId="77777777" w:rsidR="00F33CF3" w:rsidRPr="00F33CF3" w:rsidRDefault="00F33CF3" w:rsidP="00F33CF3">
      <w:pPr>
        <w:jc w:val="center"/>
        <w:rPr>
          <w:lang w:val="ru-RU"/>
        </w:rPr>
      </w:pPr>
      <w:r>
        <w:rPr>
          <w:lang w:val="pl-PL"/>
        </w:rPr>
        <w:t xml:space="preserve">3 kwietnia 2025 r.</w:t>
      </w:r>
    </w:p>
    <w:p w14:paraId="532C4C80" w14:textId="77777777" w:rsidR="00F33CF3" w:rsidRPr="00F33CF3" w:rsidRDefault="00F33CF3" w:rsidP="00F33CF3">
      <w:pPr>
        <w:jc w:val="center"/>
        <w:rPr>
          <w:lang w:val="ru-RU"/>
        </w:rPr>
      </w:pPr>
      <w:r>
        <w:rPr>
          <w:lang w:val="pl-PL"/>
        </w:rPr>
        <w:t xml:space="preserve">Kijów</w:t>
      </w:r>
    </w:p>
    <w:p w14:paraId="657FB2B9" w14:textId="77777777" w:rsidR="00F33CF3" w:rsidRPr="00F33CF3" w:rsidRDefault="00F33CF3" w:rsidP="00F33CF3">
      <w:pPr>
        <w:jc w:val="center"/>
        <w:rPr>
          <w:lang w:val="ru-RU"/>
        </w:rPr>
      </w:pPr>
      <w:r>
        <w:rPr>
          <w:lang w:val="pl-PL"/>
        </w:rPr>
        <w:t xml:space="preserve">Sprawa nr 990SCGC/23/24</w:t>
      </w:r>
    </w:p>
    <w:p w14:paraId="6EF85672" w14:textId="77777777" w:rsidR="00F33CF3" w:rsidRPr="00F33CF3" w:rsidRDefault="00F33CF3" w:rsidP="00F33CF3">
      <w:pPr>
        <w:jc w:val="center"/>
        <w:rPr>
          <w:lang w:val="ru-RU"/>
        </w:rPr>
      </w:pPr>
      <w:r>
        <w:rPr>
          <w:lang w:val="pl-PL"/>
        </w:rPr>
        <w:t xml:space="preserve">Postępowanie nr 11-255сап24</w:t>
      </w:r>
    </w:p>
    <w:p w14:paraId="48193B31" w14:textId="77777777" w:rsidR="00F33CF3" w:rsidRPr="00F33CF3" w:rsidRDefault="00F33CF3" w:rsidP="00F33CF3">
      <w:pPr>
        <w:jc w:val="both"/>
        <w:rPr>
          <w:lang w:val="ru-RU"/>
        </w:rPr>
      </w:pPr>
      <w:r>
        <w:rPr>
          <w:lang w:val="pl-PL"/>
        </w:rPr>
        <w:t xml:space="preserve">Wielka Izba Sądu Najwyższego w składzie:</w:t>
      </w:r>
    </w:p>
    <w:p w14:paraId="0B00904F" w14:textId="77777777" w:rsidR="00F33CF3" w:rsidRPr="00F33CF3" w:rsidRDefault="00F33CF3" w:rsidP="00F33CF3">
      <w:pPr>
        <w:jc w:val="both"/>
        <w:rPr>
          <w:lang w:val="ru-RU"/>
        </w:rPr>
      </w:pPr>
      <w:r>
        <w:rPr>
          <w:lang w:val="pl-PL"/>
        </w:rPr>
        <w:t xml:space="preserve">przewodniczący: W. J. Urkewycz,</w:t>
      </w:r>
    </w:p>
    <w:p w14:paraId="2FACE172" w14:textId="77777777" w:rsidR="00F33CF3" w:rsidRPr="00F33CF3" w:rsidRDefault="00F33CF3" w:rsidP="00F33CF3">
      <w:pPr>
        <w:jc w:val="both"/>
        <w:rPr>
          <w:lang w:val="ru-RU"/>
        </w:rPr>
      </w:pPr>
      <w:r>
        <w:rPr>
          <w:lang w:val="pl-PL"/>
        </w:rPr>
        <w:t xml:space="preserve">sędzia sprawozdawca: N. W. Szewcowa,</w:t>
      </w:r>
    </w:p>
    <w:p w14:paraId="1651957A" w14:textId="77777777" w:rsidR="00F33CF3" w:rsidRPr="00F33CF3" w:rsidRDefault="00F33CF3" w:rsidP="00F33CF3">
      <w:pPr>
        <w:jc w:val="both"/>
        <w:rPr>
          <w:lang w:val="ru-RU"/>
        </w:rPr>
      </w:pPr>
      <w:r>
        <w:rPr>
          <w:lang w:val="pl-PL"/>
        </w:rPr>
        <w:t xml:space="preserve">sędziowie: O. O. Banasko, O. L. Bulejko, J. L. Własow, M. I. Hryciw, Ż. M. Jelenina, L. J. Kyszakewycz, W. W. Korol, O. W. Krywenda, M. W. Mazur, K. M. Pilkow, S. O. Pohribnyj, O. W. Stupak, I. W. Tkacz, Je. A. Usenko,</w:t>
      </w:r>
    </w:p>
    <w:p w14:paraId="52E03299" w14:textId="77777777" w:rsidR="00F33CF3" w:rsidRPr="00F33CF3" w:rsidRDefault="00F33CF3" w:rsidP="00F33CF3">
      <w:pPr>
        <w:jc w:val="both"/>
        <w:rPr>
          <w:lang w:val="ru-RU"/>
        </w:rPr>
      </w:pPr>
      <w:r>
        <w:rPr>
          <w:lang w:val="pl-PL"/>
        </w:rPr>
        <w:t xml:space="preserve">przy udziale:</w:t>
      </w:r>
    </w:p>
    <w:p w14:paraId="7E020A25" w14:textId="77777777" w:rsidR="00F33CF3" w:rsidRPr="00F33CF3" w:rsidRDefault="00F33CF3" w:rsidP="00F33CF3">
      <w:pPr>
        <w:jc w:val="both"/>
        <w:rPr>
          <w:lang w:val="ru-RU"/>
        </w:rPr>
      </w:pPr>
      <w:r>
        <w:rPr>
          <w:lang w:val="pl-PL"/>
        </w:rPr>
        <w:t xml:space="preserve">protokolantki posiedzenia sądowego O. O. Łukjanenko,</w:t>
      </w:r>
    </w:p>
    <w:p w14:paraId="2F4C233B" w14:textId="77777777" w:rsidR="00F33CF3" w:rsidRPr="00F33CF3" w:rsidRDefault="00F33CF3" w:rsidP="00F33CF3">
      <w:pPr>
        <w:jc w:val="both"/>
        <w:rPr>
          <w:lang w:val="ru-RU"/>
        </w:rPr>
      </w:pPr>
      <w:r>
        <w:rPr>
          <w:lang w:val="pl-PL"/>
        </w:rPr>
        <w:t xml:space="preserve">przedstawicielki Wyższej Rady Sprawiedliwości (w trybie wideokonferencji) O. W. Belinskiej,</w:t>
      </w:r>
    </w:p>
    <w:p w14:paraId="16F05698" w14:textId="77777777" w:rsidR="00F33CF3" w:rsidRPr="00F33CF3" w:rsidRDefault="00F33CF3" w:rsidP="00F33CF3">
      <w:pPr>
        <w:jc w:val="both"/>
        <w:rPr>
          <w:lang w:val="ru-RU"/>
        </w:rPr>
      </w:pPr>
      <w:r>
        <w:rPr>
          <w:lang w:val="pl-PL"/>
        </w:rPr>
        <w:t xml:space="preserve">rozpoznała na jawnym posiedzeniu sądowym skargę OSOBY_1 na decyzję Wyższej Rady Sprawiedliwości z dnia 24 września 2024 r. nr 2795/0/15-24, wydaną w wyniku rozpatrzenia jego skargi na decyzję Trzeciej Izby Dyscyplinarnej Wyższej Rady Sprawiedliwości z dnia 21 lipca 2021 r. nr 1645/3dp/15-21,</w:t>
      </w:r>
    </w:p>
    <w:p w14:paraId="1D36B5A0" w14:textId="77777777" w:rsidR="00F33CF3" w:rsidRPr="00F33CF3" w:rsidRDefault="00F33CF3" w:rsidP="00F33CF3">
      <w:pPr>
        <w:pStyle w:val="1"/>
        <w:jc w:val="center"/>
        <w:rPr>
          <w:lang w:val="ru-RU"/>
        </w:rPr>
      </w:pPr>
      <w:r>
        <w:rPr>
          <w:lang w:val="pl-PL"/>
        </w:rPr>
        <w:t xml:space="preserve">USTALIŁA:</w:t>
      </w:r>
    </w:p>
    <w:p w14:paraId="56E27BA3" w14:textId="77777777" w:rsidR="00F33CF3" w:rsidRPr="00F33CF3" w:rsidRDefault="00F33CF3" w:rsidP="00F33CF3">
      <w:pPr>
        <w:pStyle w:val="21"/>
        <w:rPr>
          <w:lang w:val="ru-RU"/>
        </w:rPr>
      </w:pPr>
      <w:r>
        <w:rPr>
          <w:lang w:val="pl-PL"/>
        </w:rPr>
        <w:t xml:space="preserve">1. Krótka treść i uzasadnienie żądań przedstawionych w skardze</w:t>
      </w:r>
    </w:p>
    <w:p w14:paraId="49AE051D" w14:textId="77777777" w:rsidR="00F33CF3" w:rsidRPr="00F33CF3" w:rsidRDefault="00F33CF3" w:rsidP="00F33CF3">
      <w:pPr>
        <w:pStyle w:val="LegalNumberedParagraph"/>
        <w:jc w:val="both"/>
        <w:rPr>
          <w:lang w:val="ru-RU"/>
        </w:rPr>
      </w:pPr>
      <w:r>
        <w:rPr>
          <w:lang w:val="pl-PL"/>
        </w:rPr>
        <w:t xml:space="preserve">1. W dniu 24 października 2024 r. OSOBA_1 wniósł do Wielkiej Izby Sądu Najwyższego skargę, w której wnosi o uchylenie decyzji Wyższej Rady Sprawiedliwości z dnia 24 września 2024 r. nr 2795/0/15-24 „W sprawie częściowego uchylenia decyzji Trzeciej Izby Dyscyplinarnej Wyższej Rady Sprawiedliwości z dnia 21 lipca 2021 r. nr 1645/3dp/15-21 o pociągnięciu sędziego Sądu Apelacyjnego w Sumach OSOBY_1 do odpowiedzialności dyscyplinarnej i wydania nowej decyzji”.</w:t>
      </w:r>
    </w:p>
    <w:p w14:paraId="34070EC4" w14:textId="77777777" w:rsidR="00F33CF3" w:rsidRPr="00F33CF3" w:rsidRDefault="00F33CF3" w:rsidP="00F33CF3">
      <w:pPr>
        <w:pStyle w:val="LegalNumberedParagraph"/>
        <w:jc w:val="both"/>
        <w:rPr>
          <w:lang w:val="ru-RU"/>
        </w:rPr>
      </w:pPr>
      <w:r>
        <w:rPr>
          <w:lang w:val="pl-PL"/>
        </w:rPr>
        <w:t xml:space="preserve">2. Skarżący wskazuje, że w jego działaniach brak jest znamion przewinienia dyscyplinarnego, o którym mowa w lit. a) pkt 1 części pierwszej art. 106 ustawy Ukrainy z dnia 2 czerwca 2016 r. nr 1402-VIII „O ustroju sądów i statusie sędziów” (dalej – ustawa nr 1402-VIII), a zaskarżona decyzja nie zawiera wystarczających motywów, z których WRS wyprowadziła wniosek przeciwny.</w:t>
      </w:r>
    </w:p>
    <w:p w14:paraId="0DCE37E5" w14:textId="77777777" w:rsidR="00F33CF3" w:rsidRPr="00F33CF3" w:rsidRDefault="00F33CF3" w:rsidP="00F33CF3">
      <w:pPr>
        <w:pStyle w:val="LegalNumberedParagraph"/>
        <w:jc w:val="both"/>
        <w:rPr>
          <w:lang w:val="ru-RU"/>
        </w:rPr>
      </w:pPr>
      <w:r>
        <w:rPr>
          <w:lang w:val="pl-PL"/>
        </w:rPr>
        <w:t xml:space="preserve">3. OSOBA_1 podnosi, że WRS nie przedstawiła należytych motywów odrzucenia jego argumentów dotyczących terminów postępowania dyscyplinarnego, sposobu wydania zaskarżonej decyzji oraz wykorzystania informacji uzyskanych po uchyleniu poprzedniej decyzji WRS z dnia 30 listopada 2023 r. nr 1159/0/15-23. Skarżący powołuje się również na to, że zaskarżona decyzja została wydana w składzie WRS, który – jego zdaniem – nie posiadał do tego kompetencji.</w:t>
      </w:r>
    </w:p>
    <w:p w14:paraId="3B42F2A1" w14:textId="77777777" w:rsidR="00F33CF3" w:rsidRPr="00F33CF3" w:rsidRDefault="00F33CF3" w:rsidP="00F33CF3">
      <w:pPr>
        <w:pStyle w:val="LegalNumberedParagraph"/>
        <w:jc w:val="both"/>
        <w:rPr>
          <w:lang w:val="ru-RU"/>
        </w:rPr>
      </w:pPr>
      <w:r>
        <w:rPr>
          <w:lang w:val="pl-PL"/>
        </w:rPr>
        <w:t xml:space="preserve">4. Skarżący dodatkowo podkreśla, że nie naruszył przepisów prawa procesowego, ponieważ kwestia przedłużenia terminu tymczasowego aresztowania w warunkach kwarantanny powinna była zostać rozstrzygnięta z zastosowaniem pkt 20-5 rozdziału XI „Przepisy przejściowe” Kodeksu postępowania karnego Ukrainy (dalej – KPK Ukrainy). Według jego argumentacji zastosowanie do tych stosunków prawnych ppkt 2.3.23 i 2.3.25 pkt 2.3 rozdziału II Regulaminu zautomatyzowanego systemu obiegu dokumentów sądowych, zatwierdzonego uchwałą Rady Sędziów Ukrainy z dnia 26 listopada 2010 r. nr 30 (dalej – Regulamin nr 30), jest nieuzasadnione.</w:t>
      </w:r>
    </w:p>
    <w:p w14:paraId="1262EB4C" w14:textId="77777777" w:rsidR="00F33CF3" w:rsidRPr="00F33CF3" w:rsidRDefault="00F33CF3" w:rsidP="00F33CF3">
      <w:pPr>
        <w:pStyle w:val="21"/>
        <w:rPr>
          <w:lang w:val="ru-RU"/>
        </w:rPr>
      </w:pPr>
      <w:r>
        <w:rPr>
          <w:lang w:val="pl-PL"/>
        </w:rPr>
        <w:t xml:space="preserve">2. Stanowisko Wyższej Rady Sprawiedliwości</w:t>
      </w:r>
    </w:p>
    <w:p w14:paraId="77E99028" w14:textId="77777777" w:rsidR="00F33CF3" w:rsidRPr="00F33CF3" w:rsidRDefault="00F33CF3" w:rsidP="00F33CF3">
      <w:pPr>
        <w:pStyle w:val="LegalNumberedParagraph"/>
        <w:jc w:val="both"/>
        <w:rPr>
          <w:lang w:val="ru-RU"/>
        </w:rPr>
      </w:pPr>
      <w:r>
        <w:rPr>
          <w:lang w:val="pl-PL"/>
        </w:rPr>
        <w:t xml:space="preserve">5. W dniu 11 grudnia 2024 r. do Wielkiej Izby Sądu Najwyższego wpłynęła odpowiedź WRS na skargę, w której przedstawiciel WRS wnosi o pozostawienie skargi bez uwzględnienia, a zaskarżonej decyzji – bez zmian.</w:t>
      </w:r>
    </w:p>
    <w:p w14:paraId="564C4EA8" w14:textId="77777777" w:rsidR="00F33CF3" w:rsidRPr="00F33CF3" w:rsidRDefault="00F33CF3" w:rsidP="00F33CF3">
      <w:pPr>
        <w:pStyle w:val="LegalNumberedParagraph"/>
        <w:jc w:val="both"/>
        <w:rPr>
          <w:lang w:val="ru-RU"/>
        </w:rPr>
      </w:pPr>
      <w:r>
        <w:rPr>
          <w:lang w:val="pl-PL"/>
        </w:rPr>
        <w:t xml:space="preserve">6. Zdaniem przedstawiciela WRS, wydając decyzję z dnia 24 września 2024 r. nr 2795/0/15-24, Rada działała w granicach swoich kompetencji, obiektywnie ustaliła okoliczności sprawy dyscyplinarnej i nie naruszyła przepisów ustawy Ukrainy z dnia 21 grudnia 2016 r. nr 1798-VIII „O Wyższej Radzie Sprawiedliwości” (dalej – ustawa nr 1798-VIII).</w:t>
      </w:r>
    </w:p>
    <w:p w14:paraId="4872743F" w14:textId="77777777" w:rsidR="00F33CF3" w:rsidRPr="00F33CF3" w:rsidRDefault="00F33CF3" w:rsidP="00F33CF3">
      <w:pPr>
        <w:pStyle w:val="LegalNumberedParagraph"/>
        <w:jc w:val="both"/>
        <w:rPr>
          <w:lang w:val="ru-RU"/>
        </w:rPr>
      </w:pPr>
      <w:r>
        <w:rPr>
          <w:lang w:val="pl-PL"/>
        </w:rPr>
        <w:t xml:space="preserve">7. WRS uważa, że skarga nie zawiera argumentów obalających wnioski Rady o istnieniu w działaniach sędziego OSOBY_1 znamion przewinienia dyscyplinarnego, o którym mowa w lit. a) pkt 1 części pierwszej art. 106 ustawy nr 1402-VIII.</w:t>
      </w:r>
    </w:p>
    <w:p w14:paraId="69E28055" w14:textId="77777777" w:rsidR="00F33CF3" w:rsidRPr="00F33CF3" w:rsidRDefault="00F33CF3" w:rsidP="00F33CF3">
      <w:pPr>
        <w:pStyle w:val="21"/>
        <w:rPr>
          <w:lang w:val="ru-RU"/>
        </w:rPr>
      </w:pPr>
      <w:r>
        <w:rPr>
          <w:lang w:val="pl-PL"/>
        </w:rPr>
        <w:t xml:space="preserve">3. Okoliczności sprawy</w:t>
      </w:r>
    </w:p>
    <w:p w14:paraId="316228DA" w14:textId="77777777" w:rsidR="00F33CF3" w:rsidRPr="00F33CF3" w:rsidRDefault="00F33CF3" w:rsidP="00F33CF3">
      <w:pPr>
        <w:pStyle w:val="LegalNumberedParagraph"/>
        <w:jc w:val="both"/>
        <w:rPr>
          <w:lang w:val="ru-RU"/>
        </w:rPr>
      </w:pPr>
      <w:r>
        <w:rPr>
          <w:lang w:val="pl-PL"/>
        </w:rPr>
        <w:t xml:space="preserve">8. W dniu 27 listopada 2020 r. do WRS wpłynęła skarga Prokuratury Obwodowej w Sumach na działania sędziego Sądu Apelacyjnego w Sumach OSOBY_1 podczas rozpoznawania sprawy karnej nr 591/3531/19 przeciwko OSOBIE_5, oskarżonej o popełnienie przestępstw, o których mowa w art. 115 ust. 1 i art. 185 ust. 1 Kodeksu karnego Ukrainy.</w:t>
      </w:r>
    </w:p>
    <w:p w14:paraId="1DC60339" w14:textId="77777777" w:rsidR="00F33CF3" w:rsidRPr="00F33CF3" w:rsidRDefault="00F33CF3" w:rsidP="00F33CF3">
      <w:pPr>
        <w:pStyle w:val="LegalNumberedParagraph"/>
        <w:jc w:val="both"/>
        <w:rPr>
          <w:lang w:val="ru-RU"/>
        </w:rPr>
      </w:pPr>
      <w:r>
        <w:rPr>
          <w:lang w:val="pl-PL"/>
        </w:rPr>
        <w:t xml:space="preserve">9. W skardze dyscyplinarnej wskazano, że sędzia naruszył terminy wyznaczenia apelacji do rozpoznania oraz bezpodstawnie pozostawił bez rozpoznania wniosek strony oskarżenia o przedłużenie okresu stosowania środka zapobiegawczego w postaci tymczasowego aresztowania, co – według twierdzeń skarżącego dyscyplinarnego – doprowadziło do zwolnienia OSOBY_5 z aresztu w dniu 7 listopada 2020 r. na podstawie art. 202 ust. 5 KPK Ukrainy.</w:t>
      </w:r>
    </w:p>
    <w:p w14:paraId="507654E2" w14:textId="77777777" w:rsidR="00F33CF3" w:rsidRPr="00F33CF3" w:rsidRDefault="00F33CF3" w:rsidP="00F33CF3">
      <w:pPr>
        <w:pStyle w:val="LegalNumberedParagraph"/>
        <w:jc w:val="both"/>
        <w:rPr>
          <w:lang w:val="ru-RU"/>
        </w:rPr>
      </w:pPr>
      <w:r>
        <w:rPr>
          <w:lang w:val="pl-PL"/>
        </w:rPr>
        <w:t xml:space="preserve">10. Postanowieniem Trzeciej Izby Dyscyplinarnej z dnia 14 kwietnia 2021 r. wszczęto sprawę dyscyplinarną wobec sędziego Sądu Apelacyjnego w Sumach OSOBY_1.</w:t>
      </w:r>
    </w:p>
    <w:p w14:paraId="66A33E43" w14:textId="77777777" w:rsidR="00F33CF3" w:rsidRPr="00F33CF3" w:rsidRDefault="00F33CF3" w:rsidP="00F33CF3">
      <w:pPr>
        <w:pStyle w:val="LegalNumberedParagraph"/>
        <w:jc w:val="both"/>
        <w:rPr>
          <w:lang w:val="ru-RU"/>
        </w:rPr>
      </w:pPr>
      <w:r>
        <w:rPr>
          <w:lang w:val="pl-PL"/>
        </w:rPr>
        <w:t xml:space="preserve">11. Decyzją Trzeciej Izby Dyscyplinarnej z dnia 21 lipca 2021 r. nr 1645/3dp/15-21 sędziego Sądu Apelacyjnego w Sumach OSOBĘ_1 pociągnięto do odpowiedzialności dyscyplinarnej i zastosowano wobec niego karę dyscyplinarną w postaci nagany z pozbawieniem prawa do dodatków do wynagrodzenia zasadniczego sędziego przez okres jednego miesiąca.</w:t>
      </w:r>
    </w:p>
    <w:p w14:paraId="1F987A37" w14:textId="77777777" w:rsidR="00F33CF3" w:rsidRPr="00F33CF3" w:rsidRDefault="00F33CF3" w:rsidP="00F33CF3">
      <w:pPr>
        <w:pStyle w:val="LegalNumberedParagraph"/>
        <w:jc w:val="both"/>
        <w:rPr>
          <w:lang w:val="ru-RU"/>
        </w:rPr>
      </w:pPr>
      <w:r>
        <w:rPr>
          <w:lang w:val="pl-PL"/>
        </w:rPr>
        <w:t xml:space="preserve">12. Za podstawę odpowiedzialności dyscyplinarnej uznano lit. a) pkt 1 części pierwszej art. 106 ustawy nr 1402-VIII: istotne naruszenie przepisów prawa procesowego przy sprawowaniu wymiaru sprawiedliwości, popełnione na skutek niedbalstwa, które uniemożliwiło uczestnikom procesu sądowego realizację przysługujących im praw procesowych oraz wykonanie obowiązków procesowych.</w:t>
      </w:r>
    </w:p>
    <w:p w14:paraId="37955CB5" w14:textId="77777777" w:rsidR="00F33CF3" w:rsidRPr="00F33CF3" w:rsidRDefault="00F33CF3" w:rsidP="00F33CF3">
      <w:pPr>
        <w:pStyle w:val="LegalNumberedParagraph"/>
        <w:jc w:val="both"/>
        <w:rPr>
          <w:lang w:val="ru-RU"/>
        </w:rPr>
      </w:pPr>
      <w:r>
        <w:rPr>
          <w:lang w:val="pl-PL"/>
        </w:rPr>
        <w:t xml:space="preserve">13. Wyrokiem Sądu Rejonowego Zariczny w Sumach z dnia 9 września 2020 r. OSOBĘ_5 skazano na karę pozbawienia wolności, a także przedłużono okres stosowania środka zapobiegawczego w postaci tymczasowego aresztowania do 7 listopada 2020 r.</w:t>
      </w:r>
    </w:p>
    <w:p w14:paraId="78126597" w14:textId="77777777" w:rsidR="00F33CF3" w:rsidRPr="00F33CF3" w:rsidRDefault="00F33CF3" w:rsidP="00F33CF3">
      <w:pPr>
        <w:pStyle w:val="LegalNumberedParagraph"/>
        <w:jc w:val="both"/>
        <w:rPr>
          <w:lang w:val="ru-RU"/>
        </w:rPr>
      </w:pPr>
      <w:r>
        <w:rPr>
          <w:lang w:val="pl-PL"/>
        </w:rPr>
        <w:t xml:space="preserve">14. Na podstawie protokołu automatycznego przydziału sprawy sądowej pomiędzy sędziów z dnia 13 października 2020 r. w sprawie apelacji OSOBY_5 wyznaczono skład orzekający, w którym OSOBA_1 pełnił funkcję sędziego sprawozdawcy.</w:t>
      </w:r>
    </w:p>
    <w:p w14:paraId="74D049E3" w14:textId="77777777" w:rsidR="00F33CF3" w:rsidRPr="00F33CF3" w:rsidRDefault="00F33CF3" w:rsidP="00F33CF3">
      <w:pPr>
        <w:pStyle w:val="LegalNumberedParagraph"/>
        <w:jc w:val="both"/>
        <w:rPr>
          <w:lang w:val="ru-RU"/>
        </w:rPr>
      </w:pPr>
      <w:r>
        <w:rPr>
          <w:lang w:val="pl-PL"/>
        </w:rPr>
        <w:t xml:space="preserve">15. Postanowieniem Sądu Apelacyjnego w Sumach z dnia 26 października 2020 r. zakończono przygotowanie i wyznaczono rozpoznanie apelacji skazanego OSOBY_5 na dzień 22 grudnia 2020 r. Jednocześnie sędzia OSOBA_1 wyznaczył na 29 października 2020 r., na godz. 13:30, rozpoznanie kwestii celowości przedłużenia okresu stosowania środka zapobiegawczego w postaci tymczasowego aresztowania wobec OSOBY_5, o czym poinformowano uczestników postępowania karnego oraz skierowano wniosek o konwojowanie.</w:t>
      </w:r>
    </w:p>
    <w:p w14:paraId="75AF895D" w14:textId="77777777" w:rsidR="00F33CF3" w:rsidRPr="00F33CF3" w:rsidRDefault="00F33CF3" w:rsidP="00F33CF3">
      <w:pPr>
        <w:pStyle w:val="LegalNumberedParagraph"/>
        <w:jc w:val="both"/>
        <w:rPr>
          <w:lang w:val="ru-RU"/>
        </w:rPr>
      </w:pPr>
      <w:r>
        <w:rPr>
          <w:lang w:val="pl-PL"/>
        </w:rPr>
        <w:t xml:space="preserve">16. W dniu 27 października 2020 r. sędzia OSOBA_1 złożył wniosek o udzielenie mu dodatkowego urlopu jako uczestnikowi działań bojowych na okres od 27 października do 9 listopada 2020 r. Zgodnie z zaświadczeniem z dnia 16 stycznia 2021 r., podpisanym przez prezesa Sądu Apelacyjnego w Sumach, sędzia OSOBA_1 przebywał w tym okresie na takim urlopie na podstawie zarządzenia prezesa sądu z dnia 27 października 2020 r. nr 54-WS.</w:t>
      </w:r>
    </w:p>
    <w:p w14:paraId="6A35B762" w14:textId="77777777" w:rsidR="00F33CF3" w:rsidRPr="00F33CF3" w:rsidRDefault="00F33CF3" w:rsidP="00F33CF3">
      <w:pPr>
        <w:pStyle w:val="LegalNumberedParagraph"/>
        <w:jc w:val="both"/>
        <w:rPr>
          <w:lang w:val="ru-RU"/>
        </w:rPr>
      </w:pPr>
      <w:r>
        <w:rPr>
          <w:lang w:val="pl-PL"/>
        </w:rPr>
        <w:t xml:space="preserve">17. Posiedzenie sądowe wyznaczone na 29 października 2020 r. nie odbyło się z uwagi na przebywanie sędziego sprawozdawcy OSOBY_1 na urlopie.</w:t>
      </w:r>
    </w:p>
    <w:p w14:paraId="29C91B85" w14:textId="77777777" w:rsidR="00F33CF3" w:rsidRPr="00F33CF3" w:rsidRDefault="00F33CF3" w:rsidP="00F33CF3">
      <w:pPr>
        <w:pStyle w:val="LegalNumberedParagraph"/>
        <w:jc w:val="both"/>
        <w:rPr>
          <w:lang w:val="ru-RU"/>
        </w:rPr>
      </w:pPr>
      <w:r>
        <w:rPr>
          <w:lang w:val="pl-PL"/>
        </w:rPr>
        <w:t xml:space="preserve">18. W dniu 2 listopada 2020 r. prokurator w postępowaniu karnym złożył do Sądu Apelacyjnego w Sumach wniosek o przedłużenie okresu tymczasowego aresztowania OSOBY_5 na okres 60 dni. Wniosek ten został przekazany protokolantowi posiedzenia sądowego i dołączony do akt postępowania karnego, jednak do 7 listopada 2020 r. kwestia środka zapobiegawczego pozostała nierozstrzygnięta.</w:t>
      </w:r>
    </w:p>
    <w:p w14:paraId="23318CE4" w14:textId="77777777" w:rsidR="00F33CF3" w:rsidRPr="00F33CF3" w:rsidRDefault="00F33CF3" w:rsidP="00F33CF3">
      <w:pPr>
        <w:pStyle w:val="LegalNumberedParagraph"/>
        <w:jc w:val="both"/>
        <w:rPr>
          <w:lang w:val="ru-RU"/>
        </w:rPr>
      </w:pPr>
      <w:r>
        <w:rPr>
          <w:lang w:val="pl-PL"/>
        </w:rPr>
        <w:t xml:space="preserve">19. Decyzją WRS z dnia 30 listopada 2023 r. nr 1159/0/15-23 pozostawiono bez zmian decyzję Trzeciej Izby Dyscyplinarnej z dnia 21 lipca 2021 r. nr 1645/3dp/15-21.</w:t>
      </w:r>
    </w:p>
    <w:p w14:paraId="3EF6DCEC" w14:textId="77777777" w:rsidR="00F33CF3" w:rsidRPr="00F33CF3" w:rsidRDefault="00F33CF3" w:rsidP="00F33CF3">
      <w:pPr>
        <w:pStyle w:val="LegalNumberedParagraph"/>
        <w:jc w:val="both"/>
        <w:rPr>
          <w:lang w:val="ru-RU"/>
        </w:rPr>
      </w:pPr>
      <w:r>
        <w:rPr>
          <w:lang w:val="pl-PL"/>
        </w:rPr>
        <w:t xml:space="preserve">20. Postanowieniem Wielkiej Izby Sądu Najwyższego z dnia 11 kwietnia 2024 r. w sprawie nr 990SCGC/6/23 (postępowanie nr 11-206сап23) skargę OSOBY_1 uwzględniono, a decyzję WRS z dnia 30 listopada 2023 r. nr 1159/0/15-23 uchylono.</w:t>
      </w:r>
    </w:p>
    <w:p w14:paraId="1F861843" w14:textId="77777777" w:rsidR="00F33CF3" w:rsidRPr="00F33CF3" w:rsidRDefault="00F33CF3" w:rsidP="00F33CF3">
      <w:pPr>
        <w:pStyle w:val="LegalNumberedParagraph"/>
        <w:jc w:val="both"/>
        <w:rPr>
          <w:lang w:val="ru-RU"/>
        </w:rPr>
      </w:pPr>
      <w:r>
        <w:rPr>
          <w:lang w:val="pl-PL"/>
        </w:rPr>
        <w:t xml:space="preserve">21. W wyniku ponownego rozpoznania sprawy dyscyplinarnej, decyzją z dnia 24 września 2024 r. nr 2795/0/15-24 WRS częściowo uchyliła decyzję Trzeciej Izby Dyscyplinarnej, przedstawiła część motywacyjną w redakcji własnej decyzji, a w pozostałej części pozostawiła decyzję organu dyscyplinarnego bez zmian.</w:t>
      </w:r>
    </w:p>
    <w:p w14:paraId="765D8399" w14:textId="77777777" w:rsidR="00F33CF3" w:rsidRPr="00F33CF3" w:rsidRDefault="00F33CF3" w:rsidP="00F33CF3">
      <w:pPr>
        <w:pStyle w:val="LegalNumberedParagraph"/>
        <w:jc w:val="both"/>
        <w:rPr>
          <w:lang w:val="ru-RU"/>
        </w:rPr>
      </w:pPr>
      <w:r>
        <w:rPr>
          <w:lang w:val="pl-PL"/>
        </w:rPr>
        <w:t xml:space="preserve">22. WRS uznała, że sędzia OSOBA_1 był zobowiązany rozpoznać kwestię celowości przedłużenia środka zapobiegawczego wobec OSOBY_5, lecz jej nie rozpoznał, a ponadto nie podjął wszystkich niezbędnych działań w celu przekazania akt sprawy karnej innym sędziom składu orzekającego do rozpoznania tej kwestii. WRS powiązała te okoliczności ze zwolnieniem OSOBY_5 z aresztu oraz ryzykiem jego ukrywania się przed sądem.</w:t>
      </w:r>
    </w:p>
    <w:p w14:paraId="7C8E8CCC" w14:textId="77777777" w:rsidR="00F33CF3" w:rsidRPr="00F33CF3" w:rsidRDefault="00F33CF3" w:rsidP="00F33CF3">
      <w:pPr>
        <w:pStyle w:val="21"/>
        <w:rPr>
          <w:lang w:val="ru-RU"/>
        </w:rPr>
      </w:pPr>
      <w:r>
        <w:rPr>
          <w:lang w:val="pl-PL"/>
        </w:rPr>
        <w:t xml:space="preserve">4. Stanowisko Wielkiej Izby Sądu Najwyższego</w:t>
      </w:r>
    </w:p>
    <w:p w14:paraId="03BC7702" w14:textId="77777777" w:rsidR="00F33CF3" w:rsidRPr="00F33CF3" w:rsidRDefault="00F33CF3" w:rsidP="00F33CF3">
      <w:pPr>
        <w:pStyle w:val="21"/>
        <w:rPr>
          <w:lang w:val="ru-RU"/>
        </w:rPr>
      </w:pPr>
      <w:r>
        <w:rPr>
          <w:lang w:val="pl-PL"/>
        </w:rPr>
        <w:t xml:space="preserve">4.1. W przedmiocie granic kontroli sądowej nad decyzją WRS</w:t>
      </w:r>
    </w:p>
    <w:p w14:paraId="702E35CE" w14:textId="77777777" w:rsidR="00F33CF3" w:rsidRPr="00F33CF3" w:rsidRDefault="00F33CF3" w:rsidP="00F33CF3">
      <w:pPr>
        <w:pStyle w:val="LegalNumberedParagraph"/>
        <w:jc w:val="both"/>
        <w:rPr>
          <w:lang w:val="ru-RU"/>
        </w:rPr>
      </w:pPr>
      <w:r>
        <w:rPr>
          <w:lang w:val="pl-PL"/>
        </w:rPr>
        <w:t xml:space="preserve">23. Zgodnie z art. 266 ust. 7 Kodeksu sądownictwa administracyjnego Ukrainy (dalej – KSA Ukrainy) na decyzję WRS, wydaną w wyniku rozpatrzenia skargi na decyzję jej Izby Dyscyplinarnej, może zostać wniesiona skarga do Wielkiej Izby Sądu Najwyższego.</w:t>
      </w:r>
    </w:p>
    <w:p w14:paraId="37D314E0" w14:textId="77777777" w:rsidR="00F33CF3" w:rsidRPr="00F33CF3" w:rsidRDefault="00F33CF3" w:rsidP="00F33CF3">
      <w:pPr>
        <w:pStyle w:val="LegalNumberedParagraph"/>
        <w:jc w:val="both"/>
        <w:rPr>
          <w:lang w:val="ru-RU"/>
        </w:rPr>
      </w:pPr>
      <w:r>
        <w:rPr>
          <w:lang w:val="pl-PL"/>
        </w:rPr>
        <w:t xml:space="preserve">24. Art. 52 ust. 1 ustawy nr 1798-VIII określa zamknięty katalog podstaw, z których taka decyzja WRS może zostać zaskarżona i uchylona. W szczególności pkt 4 części pierwszej tego artykułu przewiduje możliwość uchylenia decyzji, jeżeli nie zawiera ona odniesień do określonych ustawą podstaw odpowiedzialności dyscyplinarnej sędziego oraz motywów, z których WRS wyprowadziła odpowiednie wnioski.</w:t>
      </w:r>
    </w:p>
    <w:p w14:paraId="37D4A4BA" w14:textId="77777777" w:rsidR="00F33CF3" w:rsidRPr="00F33CF3" w:rsidRDefault="00F33CF3" w:rsidP="00F33CF3">
      <w:pPr>
        <w:pStyle w:val="LegalNumberedParagraph"/>
        <w:jc w:val="both"/>
        <w:rPr>
          <w:lang w:val="ru-RU"/>
        </w:rPr>
      </w:pPr>
      <w:r>
        <w:rPr>
          <w:lang w:val="pl-PL"/>
        </w:rPr>
        <w:t xml:space="preserve">25. Kontrola sądowa w tej kategorii spraw nie oznacza zastąpienia WRS w wykonywaniu dyscyplinarnej dyskrecji, samodzielnego określenia rodzaju kary dyscyplinarnej ani ponownego rozstrzygnięcia sprawy dyscyplinarnej co do istoty zamiast właściwego organu. Jednocześnie kontrola ta nie może mieć charakteru wyłącznie formalnego.</w:t>
      </w:r>
    </w:p>
    <w:p w14:paraId="73C034C1" w14:textId="77777777" w:rsidR="00F33CF3" w:rsidRPr="00F33CF3" w:rsidRDefault="00F33CF3" w:rsidP="00F33CF3">
      <w:pPr>
        <w:pStyle w:val="LegalNumberedParagraph"/>
        <w:jc w:val="both"/>
        <w:rPr>
          <w:lang w:val="ru-RU"/>
        </w:rPr>
      </w:pPr>
      <w:r>
        <w:rPr>
          <w:lang w:val="pl-PL"/>
        </w:rPr>
        <w:t xml:space="preserve">26. Wielka Izba Sądu Najwyższego bada, czy decyzja WRS została wydana w prawidłowym składzie, czy została podpisana przez właściwych członków WRS, czy sędzia został należycie zawiadomiony o posiedzeniu, a także czy decyzja WRS zawiera należyte, konkretne, logiczne i poddające się kontroli sądowej motywy odnoszące się do określonych ustawą podstaw odpowiedzialności dyscyplinarnej.</w:t>
      </w:r>
    </w:p>
    <w:p w14:paraId="2FB4D15E" w14:textId="77777777" w:rsidR="00F33CF3" w:rsidRPr="00F33CF3" w:rsidRDefault="00F33CF3" w:rsidP="00F33CF3">
      <w:pPr>
        <w:pStyle w:val="LegalNumberedParagraph"/>
        <w:jc w:val="both"/>
        <w:rPr>
          <w:lang w:val="ru-RU"/>
        </w:rPr>
      </w:pPr>
      <w:r>
        <w:rPr>
          <w:lang w:val="pl-PL"/>
        </w:rPr>
        <w:t xml:space="preserve">27. W niniejszej sprawie Wielka Izba Sądu Najwyższego nie stwierdziła istnienia podstaw, o których mowa w pkt 1–3 części pierwszej art. 52 ustawy nr 1798-VIII. Kwestią rozstrzygającą jest zgodność zaskarżonej decyzji z pkt 4 części pierwszej tego artykułu.</w:t>
      </w:r>
    </w:p>
    <w:p w14:paraId="46D0C35D" w14:textId="77777777" w:rsidR="00F33CF3" w:rsidRPr="00F33CF3" w:rsidRDefault="00F33CF3" w:rsidP="00F33CF3">
      <w:pPr>
        <w:pStyle w:val="21"/>
        <w:rPr>
          <w:lang w:val="ru-RU"/>
        </w:rPr>
      </w:pPr>
      <w:r>
        <w:rPr>
          <w:lang w:val="pl-PL"/>
        </w:rPr>
        <w:t xml:space="preserve">4.2. W przedmiocie standardu uzasadnienia decyzji WRS</w:t>
      </w:r>
    </w:p>
    <w:p w14:paraId="51E393D0" w14:textId="77777777" w:rsidR="00F33CF3" w:rsidRPr="00F33CF3" w:rsidRDefault="00F33CF3" w:rsidP="00F33CF3">
      <w:pPr>
        <w:pStyle w:val="LegalNumberedParagraph"/>
        <w:jc w:val="both"/>
        <w:rPr>
          <w:lang w:val="ru-RU"/>
        </w:rPr>
      </w:pPr>
      <w:r>
        <w:rPr>
          <w:lang w:val="pl-PL"/>
        </w:rPr>
        <w:t xml:space="preserve">28. Obowiązek uzasadnienia decyzji WRS oznacza nie tylko opis ustalonych okoliczności i odniesienie się do przepisu ustawy przewidującego odpowiedzialność dyscyplinarną. Decyzja powinna zawierać spójny związek między ustalonymi faktami, konkretnym obowiązkiem sędziego, realną możliwością jego wykonania, formą winy, skutkami oraz wnioskiem o istnieniu znamion przewinienia dyscyplinarnego.</w:t>
      </w:r>
    </w:p>
    <w:p w14:paraId="22AA61EA" w14:textId="77777777" w:rsidR="00F33CF3" w:rsidRPr="00F33CF3" w:rsidRDefault="00F33CF3" w:rsidP="00F33CF3">
      <w:pPr>
        <w:pStyle w:val="LegalNumberedParagraph"/>
        <w:jc w:val="both"/>
        <w:rPr>
          <w:lang w:val="ru-RU"/>
        </w:rPr>
      </w:pPr>
      <w:r>
        <w:rPr>
          <w:lang w:val="pl-PL"/>
        </w:rPr>
        <w:t xml:space="preserve">29. W sprawie dyscyplinarnej dotyczącej sędziego uzasadnienie decyzji ma szczególne znaczenie, ponieważ taka decyzja wpływa na gwarancje niezawisłości sędziego, jego status zawodowy oraz zaufanie do wymiaru sprawiedliwości. Dlatego WRS powinna udzielić odpowiedzi na te argumenty sędziego, które są istotne dla rozstrzygnięcia kwestii istnienia lub braku przewinienia dyscyplinarnego.</w:t>
      </w:r>
    </w:p>
    <w:p w14:paraId="7D7B0F31" w14:textId="77777777" w:rsidR="00F33CF3" w:rsidRPr="00F33CF3" w:rsidRDefault="00F33CF3" w:rsidP="00F33CF3">
      <w:pPr>
        <w:pStyle w:val="LegalNumberedParagraph"/>
        <w:jc w:val="both"/>
        <w:rPr>
          <w:lang w:val="ru-RU"/>
        </w:rPr>
      </w:pPr>
      <w:r>
        <w:rPr>
          <w:lang w:val="pl-PL"/>
        </w:rPr>
        <w:t xml:space="preserve">30. Jeżeli sędzia powołuje się na okoliczności wyłączające lub istotnie ograniczające możliwość sprawowania wymiaru sprawiedliwości, WRS powinna ocenić nie tylko same te okoliczności, lecz także ich związek czasowy z zachowaniem sędziego: co sędzia wiedział przed ich wystąpieniem, jakie działania mógł realnie podjąć przed wyłączeniem się ze sprawy oraz jakie działania stały się niemożliwe po wystąpieniu tych okoliczności.</w:t>
      </w:r>
    </w:p>
    <w:p w14:paraId="7502CC0D" w14:textId="77777777" w:rsidR="00F33CF3" w:rsidRPr="00F33CF3" w:rsidRDefault="00F33CF3" w:rsidP="00F33CF3">
      <w:pPr>
        <w:pStyle w:val="LegalNumberedParagraph"/>
        <w:jc w:val="both"/>
        <w:rPr>
          <w:lang w:val="ru-RU"/>
        </w:rPr>
      </w:pPr>
      <w:r>
        <w:rPr>
          <w:lang w:val="pl-PL"/>
        </w:rPr>
        <w:t xml:space="preserve">31. Jeżeli po uchyleniu przez Sąd Najwyższy poprzedniej decyzji WRS sprawa dyscyplinarna jest rozpoznawana ponownie, WRS powinna uwzględnić wnioski prawne sądu, które stanowiły podstawę uchylenia poprzedniej decyzji. Formalna zmiana części motywacyjnej, bez usunięcia wcześniej wskazanych braków, nie odpowiada standardowi uzasadnienia decyzji.</w:t>
      </w:r>
    </w:p>
    <w:p w14:paraId="075AF54E" w14:textId="77777777" w:rsidR="00F33CF3" w:rsidRPr="00F33CF3" w:rsidRDefault="00F33CF3" w:rsidP="00F33CF3">
      <w:pPr>
        <w:pStyle w:val="21"/>
        <w:rPr>
          <w:lang w:val="ru-RU"/>
        </w:rPr>
      </w:pPr>
      <w:r>
        <w:rPr>
          <w:lang w:val="pl-PL"/>
        </w:rPr>
        <w:t xml:space="preserve">4.3. W przedmiocie znamion przewinienia dyscyplinarnego oraz znaczenia działań organizacyjnych sędziego</w:t>
      </w:r>
    </w:p>
    <w:p w14:paraId="47815813" w14:textId="77777777" w:rsidR="00F33CF3" w:rsidRPr="00F33CF3" w:rsidRDefault="00F33CF3" w:rsidP="00F33CF3">
      <w:pPr>
        <w:pStyle w:val="LegalNumberedParagraph"/>
        <w:jc w:val="both"/>
        <w:rPr>
          <w:lang w:val="ru-RU"/>
        </w:rPr>
      </w:pPr>
      <w:r>
        <w:rPr>
          <w:lang w:val="pl-PL"/>
        </w:rPr>
        <w:t xml:space="preserve">32. Lit. a) pkt 1 części pierwszej art. 106 ustawy nr 1402-VIII przewiduje odpowiedzialność dyscyplinarną sędziego za istotne naruszenie przepisów prawa procesowego przy sprawowaniu wymiaru sprawiedliwości, popełnione na skutek niedbalstwa, jeżeli takie naruszenie uniemożliwiło uczestnikom procesu sądowego realizację przysługujących im praw procesowych oraz wykonanie obowiązków procesowych.</w:t>
      </w:r>
    </w:p>
    <w:p w14:paraId="481CA738" w14:textId="77777777" w:rsidR="00F33CF3" w:rsidRPr="00F33CF3" w:rsidRDefault="00F33CF3" w:rsidP="00F33CF3">
      <w:pPr>
        <w:pStyle w:val="LegalNumberedParagraph"/>
        <w:jc w:val="both"/>
        <w:rPr>
          <w:lang w:val="ru-RU"/>
        </w:rPr>
      </w:pPr>
      <w:r>
        <w:rPr>
          <w:lang w:val="pl-PL"/>
        </w:rPr>
        <w:t xml:space="preserve">33. Dla zastosowania tego przepisu WRS powinna ustalić: konkretny obowiązek sędziego; realną możliwość jego wykonania; formę winy; istotność naruszenia; konkretne prawa lub obowiązki procesowe uczestników, których realizację lub wykonanie uniemożliwiono; bezpośredni związek przyczynowy między zachowaniem sędziego a odpowiednimi skutkami.</w:t>
      </w:r>
    </w:p>
    <w:p w14:paraId="0E47F2C7" w14:textId="77777777" w:rsidR="00F33CF3" w:rsidRPr="00F33CF3" w:rsidRDefault="00F33CF3" w:rsidP="00F33CF3">
      <w:pPr>
        <w:pStyle w:val="LegalNumberedParagraph"/>
        <w:jc w:val="both"/>
        <w:rPr>
          <w:lang w:val="ru-RU"/>
        </w:rPr>
      </w:pPr>
      <w:r>
        <w:rPr>
          <w:lang w:val="pl-PL"/>
        </w:rPr>
        <w:t xml:space="preserve">34. W przypadku powołania się na organizacyjną bezczynność sędziego WRS musi wykazać, w jaki sposób konkretne przepisy procesowe, w powiązaniu ze statusowym obowiązkiem sędziego, tworzyły procesowo relewantny obowiązek w danej sytuacji. Taki obowiązek może być brany pod uwagę wyłącznie wówczas, gdy ustalono, że sędzia wiedział lub powinien był wiedzieć o krytycznym terminie procesowym i miał realną możliwość podjęcia minimalnych działań organizacyjnych w celu niedopuszczenia do jego naruszenia.</w:t>
      </w:r>
    </w:p>
    <w:p w14:paraId="79397130" w14:textId="77777777" w:rsidR="00F33CF3" w:rsidRPr="00F33CF3" w:rsidRDefault="00F33CF3" w:rsidP="00F33CF3">
      <w:pPr>
        <w:pStyle w:val="LegalNumberedParagraph"/>
        <w:jc w:val="both"/>
        <w:rPr>
          <w:lang w:val="ru-RU"/>
        </w:rPr>
      </w:pPr>
      <w:r>
        <w:rPr>
          <w:lang w:val="pl-PL"/>
        </w:rPr>
        <w:t xml:space="preserve">35. Do takich okoliczności mogą należeć: statusowy obowiązek sędziego terminowego rozpoznawania spraw zgodnie z ustawą; przepisy art. 331 KPK Ukrainy dotyczące okresowej kontroli sądowej celowości tymczasowego aresztowania; faktyczna wiedza sędziego sprawozdawcy o dacie upływu terminu tymczasowego aresztowania; wyznaczenie przez niego posiedzenia w przedmiocie środka zapobiegawczego; zasady obiegu dokumentów sądowych określające mechanizm organizacyjny zastąpienia sędziego lub przekazania informacji w celu zapewnienia dotrzymania terminu procesowego.</w:t>
      </w:r>
    </w:p>
    <w:p w14:paraId="2BB847C8" w14:textId="77777777" w:rsidR="00F33CF3" w:rsidRPr="00F33CF3" w:rsidRDefault="00F33CF3" w:rsidP="00F33CF3">
      <w:pPr>
        <w:pStyle w:val="LegalNumberedParagraph"/>
        <w:jc w:val="both"/>
        <w:rPr>
          <w:lang w:val="ru-RU"/>
        </w:rPr>
      </w:pPr>
      <w:r>
        <w:rPr>
          <w:lang w:val="pl-PL"/>
        </w:rPr>
        <w:t xml:space="preserve">36. Jednocześnie zasady obiegu dokumentów sądowych same w sobie nie mogą automatycznie zastępować przepisów prawa procesowego i nie stanowią samodzielnej, wystarczającej podstawy do zakwalifikowania zachowania sędziego jako istotnego naruszenia przepisów prawa procesowego. Zasady te mogą być brane pod uwagę wyłącznie w powiązaniu z normami procesowymi, statusowymi obowiązkami sędziego, ustalonymi faktami wiedzy o krytycznym terminie, realną możliwością działania oraz skutkami.</w:t>
      </w:r>
    </w:p>
    <w:p w14:paraId="57A69B8C" w14:textId="77777777" w:rsidR="00F33CF3" w:rsidRPr="00F33CF3" w:rsidRDefault="00F33CF3" w:rsidP="00F33CF3">
      <w:pPr>
        <w:pStyle w:val="LegalNumberedParagraph"/>
        <w:jc w:val="both"/>
        <w:rPr>
          <w:lang w:val="ru-RU"/>
        </w:rPr>
      </w:pPr>
      <w:r>
        <w:rPr>
          <w:lang w:val="pl-PL"/>
        </w:rPr>
        <w:t xml:space="preserve">37. Zatem negatywny wynik procesowy nie może sam w sobie stanowić podstawy odpowiedzialności dyscyplinarnej sędziego. Jednakże przebywanie sędziego na urlopie, zwolnieniu lekarskim lub w samoizolacji również nie oznacza automatycznego wyłączenia oceny dyscyplinarnej, jeżeli WRS wykaże, że przed wystąpieniem tych okoliczności sędzia posiadał konkretną wiedzę o krytycznym terminie procesowym oraz realną możliwość podjęcia minimalnych działań organizacyjnych.</w:t>
      </w:r>
    </w:p>
    <w:p w14:paraId="2DAA262C" w14:textId="77777777" w:rsidR="00F33CF3" w:rsidRPr="00F33CF3" w:rsidRDefault="00F33CF3" w:rsidP="00F33CF3">
      <w:pPr>
        <w:pStyle w:val="21"/>
        <w:rPr>
          <w:lang w:val="ru-RU"/>
        </w:rPr>
      </w:pPr>
      <w:r>
        <w:rPr>
          <w:lang w:val="pl-PL"/>
        </w:rPr>
        <w:t xml:space="preserve">4.4. Dwuetapowe podejście do weryfikacji odpowiedzialności dyscyplinarnej w podobnych sprawach</w:t>
      </w:r>
    </w:p>
    <w:p w14:paraId="7387376E" w14:textId="77777777" w:rsidR="00F33CF3" w:rsidRPr="00F33CF3" w:rsidRDefault="00F33CF3" w:rsidP="00F33CF3">
      <w:pPr>
        <w:pStyle w:val="LegalNumberedParagraph"/>
        <w:jc w:val="both"/>
        <w:rPr>
          <w:lang w:val="ru-RU"/>
        </w:rPr>
      </w:pPr>
      <w:r>
        <w:rPr>
          <w:lang w:val="pl-PL"/>
        </w:rPr>
        <w:t xml:space="preserve">38. W celu zapewnienia przewidywalnego stosowania prawa w sprawach dyscyplinarnych związanych z uchybieniem krytycznym terminom procesowym w okresie urlopu, choroby, samoizolacji lub innej okoliczności ograniczającej możliwość sprawowania przez sędziego wymiaru sprawiedliwości, motywy decyzji WRS powinny umożliwiać zweryfikowanie dwóch powiązanych ze sobą kwestii.</w:t>
      </w:r>
    </w:p>
    <w:p w14:paraId="256661D0" w14:textId="77777777" w:rsidR="00F33CF3" w:rsidRPr="00F33CF3" w:rsidRDefault="00F33CF3" w:rsidP="00F33CF3">
      <w:pPr>
        <w:pStyle w:val="LegalNumberedParagraph"/>
        <w:jc w:val="both"/>
        <w:rPr>
          <w:lang w:val="ru-RU"/>
        </w:rPr>
      </w:pPr>
      <w:r>
        <w:rPr>
          <w:lang w:val="pl-PL"/>
        </w:rPr>
        <w:t xml:space="preserve">39. Na pierwszym etapie WRS musi ustalić, czy przed wystąpieniem okoliczności ograniczającej możliwość sprawowania wymiaru sprawiedliwości sędzia posiadał realną wiedzę o krytycznym terminie procesowym oraz realną możliwość podjęcia minimalnych działań organizacyjnych. Nie chodzi tu o jakąkolwiek abstrakcyjną wiedzę o istnieniu sprawy, lecz o wiedzę lub oczywistą świadomość co do terminu, którego uchybienie mogło prowadzić do istotnych skutków procesowych.</w:t>
      </w:r>
    </w:p>
    <w:p w14:paraId="63C31CEF" w14:textId="77777777" w:rsidR="00F33CF3" w:rsidRPr="00F33CF3" w:rsidRDefault="00F33CF3" w:rsidP="00F33CF3">
      <w:pPr>
        <w:pStyle w:val="LegalNumberedParagraph"/>
        <w:jc w:val="both"/>
        <w:rPr>
          <w:lang w:val="ru-RU"/>
        </w:rPr>
      </w:pPr>
      <w:r>
        <w:rPr>
          <w:lang w:val="pl-PL"/>
        </w:rPr>
        <w:t xml:space="preserve">40. Na tym etapie WRS powinna ustalić w szczególności: czy sprawa lub odpowiednia kwestia znajdowała się w postępowaniu prowadzonym przez sędziego; czy sędzia wiedział o dacie upływu krytycznego terminu; czy sam sędzia wyznaczył lub przygotowywał rozpoznanie kwestii związanej z tym terminem; czy przed wyłączeniem się ze sprawy miał realną możliwość poinformowania prezesa sądu, kierownika biura sądu, przewodniczącego izby sądowej lub innych członków składu orzekającego o konieczności rozstrzygnięcia tej kwestii; czy istniał zrozumiały, organizacyjny lub procesowo relewantny sposób takiego poinformowania.</w:t>
      </w:r>
    </w:p>
    <w:p w14:paraId="4F39FBC1" w14:textId="77777777" w:rsidR="00F33CF3" w:rsidRPr="00F33CF3" w:rsidRDefault="00F33CF3" w:rsidP="00F33CF3">
      <w:pPr>
        <w:pStyle w:val="LegalNumberedParagraph"/>
        <w:jc w:val="both"/>
        <w:rPr>
          <w:lang w:val="ru-RU"/>
        </w:rPr>
      </w:pPr>
      <w:r>
        <w:rPr>
          <w:lang w:val="pl-PL"/>
        </w:rPr>
        <w:t xml:space="preserve">41. Jeżeli WRS nie wykazała istnienia po stronie sędziego takiej wiedzy oraz realnej możliwości działania przed wyłączeniem się ze sprawy, odpowiedzialność dyscyplinarna za istotne naruszenie przepisów prawa procesowego nie może opierać się wyłącznie na tym, że po wyłączeniu się sędziego nastąpił niekorzystny wynik procesowy.</w:t>
      </w:r>
    </w:p>
    <w:p w14:paraId="7E7BE969" w14:textId="77777777" w:rsidR="00F33CF3" w:rsidRPr="00F33CF3" w:rsidRDefault="00F33CF3" w:rsidP="00F33CF3">
      <w:pPr>
        <w:pStyle w:val="LegalNumberedParagraph"/>
        <w:jc w:val="both"/>
        <w:rPr>
          <w:lang w:val="ru-RU"/>
        </w:rPr>
      </w:pPr>
      <w:r>
        <w:rPr>
          <w:lang w:val="pl-PL"/>
        </w:rPr>
        <w:t xml:space="preserve">42. Na drugim etapie, jeżeli WRS ustaliła istnienie uprzedniego obowiązku oraz realnej możliwości podjęcia minimalnych działań organizacyjnych, musi wykazać, że niepodjęcie tych działań było istotne, zawinione i pozostawało w bezpośrednim związku przyczynowym ze skutkami, o których mowa w lit. a) pkt 1 części pierwszej art. 106 ustawy nr 1402-VIII.</w:t>
      </w:r>
    </w:p>
    <w:p w14:paraId="72B65A3A" w14:textId="77777777" w:rsidR="00F33CF3" w:rsidRPr="00F33CF3" w:rsidRDefault="00F33CF3" w:rsidP="00F33CF3">
      <w:pPr>
        <w:pStyle w:val="LegalNumberedParagraph"/>
        <w:jc w:val="both"/>
        <w:rPr>
          <w:lang w:val="ru-RU"/>
        </w:rPr>
      </w:pPr>
      <w:r>
        <w:rPr>
          <w:lang w:val="pl-PL"/>
        </w:rPr>
        <w:t xml:space="preserve">43. W tym celu WRS powinna uzasadnić, dlaczego niepodjęcie odpowiedniego działania stanowi właśnie istotne naruszenie przepisów prawa procesowego przy sprawowaniu wymiaru sprawiedliwości, a nie jedynie uchybienie organizacyjne; jaką formę winy sędziego ustalono; jakie konkretne prawa lub obowiązki procesowe uczestników zostały uniemożliwione; dlaczego to właśnie zachowanie sędziego, a nie inne okoliczności, stało się bezpośrednią przyczyną negatywnych skutków procesowych.</w:t>
      </w:r>
    </w:p>
    <w:p w14:paraId="58B0514A" w14:textId="77777777" w:rsidR="00F33CF3" w:rsidRPr="00F33CF3" w:rsidRDefault="00F33CF3" w:rsidP="00F33CF3">
      <w:pPr>
        <w:pStyle w:val="LegalNumberedParagraph"/>
        <w:jc w:val="both"/>
        <w:rPr>
          <w:lang w:val="ru-RU"/>
        </w:rPr>
      </w:pPr>
      <w:r>
        <w:rPr>
          <w:lang w:val="pl-PL"/>
        </w:rPr>
        <w:t xml:space="preserve">44. Przy ocenie związku przyczynowego WRS powinna uwzględnić, czy inne podmioty mogły i powinny były działać: prokurator, prezes sądu, biuro sądu, protokolant posiedzenia sądowego, inni sędziowie składu orzekającego; czy KPK Ukrainy przewidywał szczególną procedurę przekazania wniosku lub kwestii innemu sędziemu lub innemu sądowi; czy okoliczności te nie przerywają związku przyczynowego między niepodjęciem przez sędziego działań organizacyjnych a skutkami stanowiącymi podstawę odpowiedzialności dyscyplinarnej.</w:t>
      </w:r>
    </w:p>
    <w:p w14:paraId="7F2B6536" w14:textId="77777777" w:rsidR="00F33CF3" w:rsidRPr="00F33CF3" w:rsidRDefault="00F33CF3" w:rsidP="00F33CF3">
      <w:pPr>
        <w:pStyle w:val="LegalNumberedParagraph"/>
        <w:jc w:val="both"/>
        <w:rPr>
          <w:lang w:val="ru-RU"/>
        </w:rPr>
      </w:pPr>
      <w:r>
        <w:rPr>
          <w:lang w:val="pl-PL"/>
        </w:rPr>
        <w:t xml:space="preserve">45. Dopiero po przejściu obu etapów WRS może sformułować uzasadniony wniosek o istnieniu lub braku znamion przewinienia dyscyplinarnego. Takie podejście chroni sędziego przed odpowiedzialnością za niekorzystny wynik, któremu realnie nie mógł zapobiec, a jednocześnie nie wyklucza oceny dyscyplinarnej sytuacji, w których sędzia przed wyłączeniem się ze sprawy posiadał wiedzę o krytycznym terminie i mógł podjąć minimalne działania w celu jego dotrzymania.</w:t>
      </w:r>
    </w:p>
    <w:p w14:paraId="3ED6C6F2" w14:textId="77777777" w:rsidR="00F33CF3" w:rsidRPr="00F33CF3" w:rsidRDefault="00F33CF3" w:rsidP="00F33CF3">
      <w:pPr>
        <w:pStyle w:val="21"/>
        <w:rPr>
          <w:lang w:val="ru-RU"/>
        </w:rPr>
      </w:pPr>
      <w:r>
        <w:rPr>
          <w:lang w:val="pl-PL"/>
        </w:rPr>
        <w:t xml:space="preserve">4.5. Zastosowanie przedstawionych standardów do niniejszej sprawy</w:t>
      </w:r>
    </w:p>
    <w:p w14:paraId="509B1558" w14:textId="77777777" w:rsidR="00F33CF3" w:rsidRPr="00F33CF3" w:rsidRDefault="00F33CF3" w:rsidP="00F33CF3">
      <w:pPr>
        <w:pStyle w:val="LegalNumberedParagraph"/>
        <w:jc w:val="both"/>
        <w:rPr>
          <w:lang w:val="ru-RU"/>
        </w:rPr>
      </w:pPr>
      <w:r>
        <w:rPr>
          <w:lang w:val="pl-PL"/>
        </w:rPr>
        <w:t xml:space="preserve">46. WRS była uprawniona zbadać nie tylko zachowanie sędziego po wpłynięciu w dniu 2 listopada 2020 r. wniosku prokuratora, lecz także jego zachowanie w dniach 26–27 października 2020 r., gdy wyznaczył on rozpoznanie kwestii celowości przedłużenia okresu tymczasowego aresztowania na 29 października 2020 r., wiedział o upływie terminu tymczasowego aresztowania w dniu 7 listopada 2020 r. i następnego dnia złożył wniosek o urlop.</w:t>
      </w:r>
    </w:p>
    <w:p w14:paraId="688EAC3B" w14:textId="77777777" w:rsidR="00F33CF3" w:rsidRPr="00F33CF3" w:rsidRDefault="00F33CF3" w:rsidP="00F33CF3">
      <w:pPr>
        <w:pStyle w:val="LegalNumberedParagraph"/>
        <w:jc w:val="both"/>
        <w:rPr>
          <w:lang w:val="ru-RU"/>
        </w:rPr>
      </w:pPr>
      <w:r>
        <w:rPr>
          <w:lang w:val="pl-PL"/>
        </w:rPr>
        <w:t xml:space="preserve">47. Właśnie w tym aspekcie argumenty WRS oraz argumentacja przedstawiona w zdaniu odrębnym sędziów Wielkiej Izby Sądu Najwyższego poruszają istotną kwestię: czy przed wyłączeniem się ze sprawy sędzia miał realną możliwość poinformowania prezesa sądu, biura sądu lub innych członków składu orzekającego o krytycznym terminie oraz o konieczności rozstrzygnięcia kwestii środka zapobiegawczego.</w:t>
      </w:r>
    </w:p>
    <w:p w14:paraId="4472366A" w14:textId="77777777" w:rsidR="00F33CF3" w:rsidRPr="00F33CF3" w:rsidRDefault="00F33CF3" w:rsidP="00F33CF3">
      <w:pPr>
        <w:pStyle w:val="LegalNumberedParagraph"/>
        <w:jc w:val="both"/>
        <w:rPr>
          <w:lang w:val="ru-RU"/>
        </w:rPr>
      </w:pPr>
      <w:r>
        <w:rPr>
          <w:lang w:val="pl-PL"/>
        </w:rPr>
        <w:t xml:space="preserve">48. Samo istnienie takiej kwestii nie jest jednak wystarczające do pozostawienia decyzji WRS bez zmian. WRS powinna była jasno ustalić i uzasadnić, na czym dokładnie polegał konkretny obowiązek sędziego przed wyłączeniem się ze sprawy, z jakich przepisów prawa i ustalonych okoliczności on wynikał, jakie minimalne działania były realnie możliwe, dlaczego ich niepodjęcie było zawinione i istotne, a także jaki był związek przyczynowy między tym zaniechaniem a skutkami.</w:t>
      </w:r>
    </w:p>
    <w:p w14:paraId="6C9E5852" w14:textId="77777777" w:rsidR="00F33CF3" w:rsidRPr="00F33CF3" w:rsidRDefault="00F33CF3" w:rsidP="00F33CF3">
      <w:pPr>
        <w:pStyle w:val="LegalNumberedParagraph"/>
        <w:jc w:val="both"/>
        <w:rPr>
          <w:lang w:val="ru-RU"/>
        </w:rPr>
      </w:pPr>
      <w:r>
        <w:rPr>
          <w:lang w:val="pl-PL"/>
        </w:rPr>
        <w:t xml:space="preserve">49. W zaskarżonej decyzji WRS nie przeprowadziła takiej spójnej analizy. Decyzja zawiera wniosek, że sędzia nie podjął wszystkich niezbędnych działań w celu przekazania akt sprawy karnej innym sędziom składu orzekającego, jednak nie wyjaśnia dostatecznie jasno, dlaczego właśnie taka bezczynność, w ustalonych okolicznościach, stanowi istotne naruszenie przepisów prawa procesowego przy sprawowaniu wymiaru sprawiedliwości w rozumieniu art. 106 ustawy nr 1402-VIII.</w:t>
      </w:r>
    </w:p>
    <w:p w14:paraId="11AF3D80" w14:textId="77777777" w:rsidR="00F33CF3" w:rsidRPr="00F33CF3" w:rsidRDefault="00F33CF3" w:rsidP="00F33CF3">
      <w:pPr>
        <w:pStyle w:val="LegalNumberedParagraph"/>
        <w:jc w:val="both"/>
        <w:rPr>
          <w:lang w:val="ru-RU"/>
        </w:rPr>
      </w:pPr>
      <w:r>
        <w:rPr>
          <w:lang w:val="pl-PL"/>
        </w:rPr>
        <w:t xml:space="preserve">50. WRS nie rozgraniczyła również w należyty sposób dwóch okresów czasowych: okresu przed wyłączeniem się sędziego ze sprawy w związku z urlopem oraz okresu po takim wyłączeniu. Dla pierwszego okresu należało ustalić realną wiedzę sędziego o krytycznym terminie, realną możliwość poinformowania właściwych osób oraz znaczenie niepodjęcia takiego działania. Dla drugiego okresu należało ocenić, w jaki sposób przebywanie sędziego na urlopie, potwierdzenie zachorowania na COVID-19 oraz samoizolacja wpływały na możliwość sprawowania wymiaru sprawiedliwości i wykonywania czynności procesowych.</w:t>
      </w:r>
    </w:p>
    <w:p w14:paraId="0AD706C9" w14:textId="77777777" w:rsidR="00F33CF3" w:rsidRPr="00F33CF3" w:rsidRDefault="00F33CF3" w:rsidP="00F33CF3">
      <w:pPr>
        <w:pStyle w:val="LegalNumberedParagraph"/>
        <w:jc w:val="both"/>
        <w:rPr>
          <w:lang w:val="ru-RU"/>
        </w:rPr>
      </w:pPr>
      <w:r>
        <w:rPr>
          <w:lang w:val="pl-PL"/>
        </w:rPr>
        <w:t xml:space="preserve">51. WRS powołała się formalnie na art. 331 i rozdział 18 KPK Ukrainy, a także na ppkt 2.3.25 pkt 2.3 rozdziału II Regulaminu nr 30, nie wyjaśniła jednak, w jaki sposób przepisy te łącznie tworzyły dla sędziego sprawozdawcy konkretny obowiązek w sytuacji, gdy wyłączał się on ze sprawy z powodu urlopu i samoizolacji, oraz dlaczego niewykonanie tego obowiązku stanowi nie tylko uchybienie organizacyjne, lecz właśnie istotne naruszenie przepisów prawa procesowego.</w:t>
      </w:r>
    </w:p>
    <w:p w14:paraId="762BF1BB" w14:textId="77777777" w:rsidR="00F33CF3" w:rsidRPr="00F33CF3" w:rsidRDefault="00F33CF3" w:rsidP="00F33CF3">
      <w:pPr>
        <w:pStyle w:val="LegalNumberedParagraph"/>
        <w:jc w:val="both"/>
        <w:rPr>
          <w:lang w:val="ru-RU"/>
        </w:rPr>
      </w:pPr>
      <w:r>
        <w:rPr>
          <w:lang w:val="pl-PL"/>
        </w:rPr>
        <w:t xml:space="preserve">52. WRS była uprawniona uwzględnić Regulamin nr 30 jako źródło mechanizmu organizacyjnego, który mógł zostać wykorzystany w celu zapewnienia dotrzymania terminu rozpoznania sprawy. WRS powinna była jednak wyjaśnić relację tego mechanizmu z regulacją procesową KPK Ukrainy, w szczególności z art. 331 KPK Ukrainy oraz pkt 20-5 rozdziału XI „Przepisy przejściowe” KPK Ukrainy.</w:t>
      </w:r>
    </w:p>
    <w:p w14:paraId="0EE5934A" w14:textId="77777777" w:rsidR="00F33CF3" w:rsidRPr="00F33CF3" w:rsidRDefault="00F33CF3" w:rsidP="00F33CF3">
      <w:pPr>
        <w:pStyle w:val="LegalNumberedParagraph"/>
        <w:jc w:val="both"/>
        <w:rPr>
          <w:lang w:val="ru-RU"/>
        </w:rPr>
      </w:pPr>
      <w:r>
        <w:rPr>
          <w:lang w:val="pl-PL"/>
        </w:rPr>
        <w:t xml:space="preserve">53. Istnienie pkt 20-5 rozdziału XI „Przepisy przejściowe” KPK Ukrainy nie usuwa automatycznie kwestii, czy sędzia przed urlopem mógł i powinien był poinformować o krytycznym terminie. Jednocześnie przepis ten ma istotne znaczenie dla oceny związku przyczynowego, ponieważ przewidywał szczególne sposoby rozpoznania wniosku o zastosowanie lub przedłużenie środka zapobiegawczego w postaci tymczasowego aresztowania w warunkach kwarantanny.</w:t>
      </w:r>
    </w:p>
    <w:p w14:paraId="18503735" w14:textId="77777777" w:rsidR="00F33CF3" w:rsidRPr="00F33CF3" w:rsidRDefault="00F33CF3" w:rsidP="00F33CF3">
      <w:pPr>
        <w:pStyle w:val="LegalNumberedParagraph"/>
        <w:jc w:val="both"/>
        <w:rPr>
          <w:lang w:val="ru-RU"/>
        </w:rPr>
      </w:pPr>
      <w:r>
        <w:rPr>
          <w:lang w:val="pl-PL"/>
        </w:rPr>
        <w:t xml:space="preserve">54. Dlatego WRS powinna była wyjaśnić, w jaki sposób procesowy lub organizacyjny, po dokonaniu takiego poinformowania, mogło zostać zapewnione terminowe rozpoznanie kwestii; kto konkretnie powinien był działać po takim poinformowaniu; czy prezes sądu, biuro sądu, inni sędziowie składu orzekającego lub prokurator byli w stanie podjąć działania w celu rozpoznania kwestii do 7 listopada 2020 r.; czy okoliczności te nie wpływały na bezpośredniość związku przyczynowego między zachowaniem sędziego a zwolnieniem OSOBY_5 z aresztu.</w:t>
      </w:r>
    </w:p>
    <w:p w14:paraId="58629E01" w14:textId="77777777" w:rsidR="00F33CF3" w:rsidRPr="00F33CF3" w:rsidRDefault="00F33CF3" w:rsidP="00F33CF3">
      <w:pPr>
        <w:pStyle w:val="LegalNumberedParagraph"/>
        <w:jc w:val="both"/>
        <w:rPr>
          <w:lang w:val="ru-RU"/>
        </w:rPr>
      </w:pPr>
      <w:r>
        <w:rPr>
          <w:lang w:val="pl-PL"/>
        </w:rPr>
        <w:t xml:space="preserve">55. Zaskarżona decyzja WRS nie zawiera wystarczającej odpowiedzi na te pytania. Wskazano w niej ogólnie skutek w postaci zwolnienia OSOBY_5 z aresztu, nie przedstawiono jednak przekonującego łańcucha przyczynowego między konkretną bezczynnością sędziego przed urlopem, działaniami lub bezczynnością innych podmiotów a skutkami, które WRS uczyniła podstawą odpowiedzialności dyscyplinarnej.</w:t>
      </w:r>
    </w:p>
    <w:p w14:paraId="5A547D94" w14:textId="77777777" w:rsidR="00F33CF3" w:rsidRPr="00F33CF3" w:rsidRDefault="00F33CF3" w:rsidP="00F33CF3">
      <w:pPr>
        <w:pStyle w:val="LegalNumberedParagraph"/>
        <w:jc w:val="both"/>
        <w:rPr>
          <w:lang w:val="ru-RU"/>
        </w:rPr>
      </w:pPr>
      <w:r>
        <w:rPr>
          <w:lang w:val="pl-PL"/>
        </w:rPr>
        <w:t xml:space="preserve">56. Wielka Izba Sądu Najwyższego nie wyprowadza wniosku, że zachowanie sędziego przed urlopem nie może być przedmiotem oceny dyscyplinarnej. Przeciwnie, przy istnieniu odpowiednich dowodów i wystarczającego uzasadnienia takie zachowanie może być oceniane przez WRS z punktu widzenia tego, czy sędzia podjął minimalne działania organizacyjne w celu niedopuszczenia do naruszenia krytycznego terminu procesowego.</w:t>
      </w:r>
    </w:p>
    <w:p w14:paraId="76628236" w14:textId="77777777" w:rsidR="00F33CF3" w:rsidRPr="00F33CF3" w:rsidRDefault="00F33CF3" w:rsidP="00F33CF3">
      <w:pPr>
        <w:pStyle w:val="LegalNumberedParagraph"/>
        <w:jc w:val="both"/>
        <w:rPr>
          <w:lang w:val="ru-RU"/>
        </w:rPr>
      </w:pPr>
      <w:r>
        <w:rPr>
          <w:lang w:val="pl-PL"/>
        </w:rPr>
        <w:t xml:space="preserve">57. Jednakże w ramach kontroli sądowej sprawowanej na podstawie art. 52 ustawy nr 1798-VIII Wielka Izba Sądu Najwyższego stwierdza, że decyzja WRS z dnia 24 września 2024 r. nr 2795/0/15-24 nie zawiera dostatecznie konkretnego, logicznego i poddającego się kontroli uzasadnienia w odniesieniu do wszystkich obligatoryjnych elementów znamion przewinienia dyscyplinarnego.</w:t>
      </w:r>
    </w:p>
    <w:p w14:paraId="3C2A3D97" w14:textId="77777777" w:rsidR="00F33CF3" w:rsidRPr="00F33CF3" w:rsidRDefault="00F33CF3" w:rsidP="00F33CF3">
      <w:pPr>
        <w:pStyle w:val="LegalNumberedParagraph"/>
        <w:jc w:val="both"/>
        <w:rPr>
          <w:lang w:val="ru-RU"/>
        </w:rPr>
      </w:pPr>
      <w:r>
        <w:rPr>
          <w:lang w:val="pl-PL"/>
        </w:rPr>
        <w:t xml:space="preserve">58. W tych okolicznościach wniosek WRS o istnieniu w działaniach sędziego OSOBY_1 znamion przewinienia dyscyplinarnego jest przedwczesny, a zaskarżona decyzja nie może zostać uznana za uzasadnioną w rozumieniu pkt 4 części pierwszej art. 52 ustawy nr 1798-VIII.</w:t>
      </w:r>
    </w:p>
    <w:p w14:paraId="3B8999F4" w14:textId="77777777" w:rsidR="00F33CF3" w:rsidRPr="00F33CF3" w:rsidRDefault="00F33CF3" w:rsidP="00F33CF3">
      <w:pPr>
        <w:pStyle w:val="21"/>
        <w:rPr>
          <w:lang w:val="ru-RU"/>
        </w:rPr>
      </w:pPr>
      <w:r>
        <w:rPr>
          <w:lang w:val="pl-PL"/>
        </w:rPr>
        <w:t xml:space="preserve">4.6. W przedmiocie rozgraniczenia błędu sądowego i przewinienia dyscyplinarnego</w:t>
      </w:r>
    </w:p>
    <w:p w14:paraId="28E40626" w14:textId="77777777" w:rsidR="00F33CF3" w:rsidRPr="00F33CF3" w:rsidRDefault="00F33CF3" w:rsidP="00F33CF3">
      <w:pPr>
        <w:pStyle w:val="LegalNumberedParagraph"/>
        <w:jc w:val="both"/>
        <w:rPr>
          <w:lang w:val="ru-RU"/>
        </w:rPr>
      </w:pPr>
      <w:r>
        <w:rPr>
          <w:lang w:val="pl-PL"/>
        </w:rPr>
        <w:t xml:space="preserve">59. Błąd sądowy i przewinienie dyscyplinarne nie są tożsamymi zjawiskami prawnymi. Błędne rozstrzygnięcie procesowe, nieprawidłowa ocena okoliczności lub niedoskonała organizacja biegu sprawy nie tworzą automatycznie przewinienia dyscyplinarnego.</w:t>
      </w:r>
    </w:p>
    <w:p w14:paraId="4ECCB7D8" w14:textId="77777777" w:rsidR="00F33CF3" w:rsidRPr="00F33CF3" w:rsidRDefault="00F33CF3" w:rsidP="00F33CF3">
      <w:pPr>
        <w:pStyle w:val="LegalNumberedParagraph"/>
        <w:jc w:val="both"/>
        <w:rPr>
          <w:lang w:val="ru-RU"/>
        </w:rPr>
      </w:pPr>
      <w:r>
        <w:rPr>
          <w:lang w:val="pl-PL"/>
        </w:rPr>
        <w:t xml:space="preserve">60. Dla odpowiedzialności dyscyplinarnej konieczne jest ustalenie przewidzianych ustawą znamion przewinienia dyscyplinarnego: konkretnego obowiązku, realnej możliwości jego wykonania, formy winy, istotności naruszenia, skutków oraz związku przyczynowego. Bez takiego ustalenia odpowiedzialność dyscyplinarna przekształciłaby się w odpowiedzialność za wynik, co jest nie do pogodzenia z gwarancjami niezawisłości sędziego.</w:t>
      </w:r>
    </w:p>
    <w:p w14:paraId="1EB5C3B8" w14:textId="77777777" w:rsidR="00F33CF3" w:rsidRPr="00F33CF3" w:rsidRDefault="00F33CF3" w:rsidP="00F33CF3">
      <w:pPr>
        <w:pStyle w:val="LegalNumberedParagraph"/>
        <w:jc w:val="both"/>
        <w:rPr>
          <w:lang w:val="ru-RU"/>
        </w:rPr>
      </w:pPr>
      <w:r>
        <w:rPr>
          <w:lang w:val="pl-PL"/>
        </w:rPr>
        <w:t xml:space="preserve">61. Jednocześnie niezawisłość sędziego nie oznacza braku obowiązku działania sumiennie i w sposób zorganizowany w sytuacjach, gdy sędzia wie o krytycznym terminie procesowym i ma realną możliwość, przed wyłączeniem się ze sprawy, poinformowania właściwych osób o konieczności jego dotrzymania. Takie zachowanie może być przedmiotem oceny dyscyplinarnej, lecz wyłącznie pod warunkiem należytego wykazania wszystkich elementów znamion przewinienia.</w:t>
      </w:r>
    </w:p>
    <w:p w14:paraId="3E22330D" w14:textId="77777777" w:rsidR="00F33CF3" w:rsidRPr="00F33CF3" w:rsidRDefault="00F33CF3" w:rsidP="00F33CF3">
      <w:pPr>
        <w:pStyle w:val="21"/>
        <w:rPr>
          <w:lang w:val="ru-RU"/>
        </w:rPr>
      </w:pPr>
      <w:r>
        <w:rPr>
          <w:lang w:val="pl-PL"/>
        </w:rPr>
        <w:t xml:space="preserve">5. W przedmiocie skutków uchylenia decyzji WRS</w:t>
      </w:r>
    </w:p>
    <w:p w14:paraId="410D3EF5" w14:textId="77777777" w:rsidR="00F33CF3" w:rsidRPr="00F33CF3" w:rsidRDefault="00F33CF3" w:rsidP="00F33CF3">
      <w:pPr>
        <w:pStyle w:val="LegalNumberedParagraph"/>
        <w:jc w:val="both"/>
        <w:rPr>
          <w:lang w:val="ru-RU"/>
        </w:rPr>
      </w:pPr>
      <w:r>
        <w:rPr>
          <w:lang w:val="pl-PL"/>
        </w:rPr>
        <w:t xml:space="preserve">62. Zgodnie z art. 52 ust. 3 ustawy nr 1798-VIII w razie uchylenia przez sąd decyzji WRS, wydanej w wyniku rozpatrzenia skargi na decyzję Izby Dyscyplinarnej, WRS rozpoznaje odpowiednią sprawę dyscyplinarną ponownie. Ponowne rozpoznanie odbywa się przez WRS w składzie plenarnym, w trybie określonym w art. 49 tej ustawy.</w:t>
      </w:r>
    </w:p>
    <w:p w14:paraId="3435108D" w14:textId="77777777" w:rsidR="00F33CF3" w:rsidRPr="00F33CF3" w:rsidRDefault="00F33CF3" w:rsidP="00F33CF3">
      <w:pPr>
        <w:pStyle w:val="LegalNumberedParagraph"/>
        <w:jc w:val="both"/>
        <w:rPr>
          <w:lang w:val="ru-RU"/>
        </w:rPr>
      </w:pPr>
      <w:r>
        <w:rPr>
          <w:lang w:val="pl-PL"/>
        </w:rPr>
        <w:t xml:space="preserve">63. Zgodnie z art. 266 ust. 8 KSA Ukrainy Wielka Izba Sądu Najwyższego w wyniku rozpoznania sprawy dotyczącej zaskarżenia decyzji WRS, wydanej w wyniku rozpatrzenia skargi na decyzję jej Izby Dyscyplinarnej, może uchylić zaskarżoną decyzję WRS albo pozostawić ją bez zmian.</w:t>
      </w:r>
    </w:p>
    <w:p w14:paraId="72C8B900" w14:textId="77777777" w:rsidR="00F33CF3" w:rsidRPr="00F33CF3" w:rsidRDefault="00F33CF3" w:rsidP="00F33CF3">
      <w:pPr>
        <w:pStyle w:val="LegalNumberedParagraph"/>
        <w:jc w:val="both"/>
        <w:rPr>
          <w:lang w:val="ru-RU"/>
        </w:rPr>
      </w:pPr>
      <w:r>
        <w:rPr>
          <w:lang w:val="pl-PL"/>
        </w:rPr>
        <w:t xml:space="preserve">64. Z uwagi na stwierdzone braki w uzasadnieniu decyzji WRS, Wielka Izba Sądu Najwyższego doszła do wniosku, że skarga OSOBY_1 podlega uwzględnieniu, a decyzja WRS z dnia 24 września 2024 r. nr 2795/0/15-24 – uchyleniu.</w:t>
      </w:r>
    </w:p>
    <w:p w14:paraId="196E35A8" w14:textId="77777777" w:rsidR="00F33CF3" w:rsidRPr="00F33CF3" w:rsidRDefault="00F33CF3" w:rsidP="00F33CF3">
      <w:pPr>
        <w:pStyle w:val="LegalNumberedParagraph"/>
        <w:jc w:val="both"/>
        <w:rPr>
          <w:lang w:val="ru-RU"/>
        </w:rPr>
      </w:pPr>
      <w:r>
        <w:rPr>
          <w:lang w:val="pl-PL"/>
        </w:rPr>
        <w:t xml:space="preserve">65. Uchylenie zaskarżonej decyzji powoduje konieczność ponownego rozpoznania sprawy dyscyplinarnej przez WRS w składzie plenarnym, z uwzględnieniem wniosków prawnych zawartych w niniejszym postanowieniu. Podczas ponownego rozpoznania WRS powinna ocenić nie tylko okoliczności przebywania sędziego na urlopie i w samoizolacji oraz zastosowanie pkt 20-5 rozdziału XI KPK Ukrainy, lecz także kwestię, czy sędzia przed wyłączeniem się ze sprawy posiadał realną wiedzę o krytycznym terminie oraz realną możliwość podjęcia minimalnych działań organizacyjnych.</w:t>
      </w:r>
    </w:p>
    <w:p w14:paraId="340D1CDD" w14:textId="77777777" w:rsidR="00F33CF3" w:rsidRPr="00F33CF3" w:rsidRDefault="00F33CF3" w:rsidP="00F33CF3">
      <w:pPr>
        <w:pStyle w:val="LegalNumberedParagraph"/>
        <w:jc w:val="both"/>
        <w:rPr>
          <w:lang w:val="ru-RU"/>
        </w:rPr>
      </w:pPr>
      <w:r>
        <w:rPr>
          <w:lang w:val="pl-PL"/>
        </w:rPr>
        <w:t xml:space="preserve">66. Wielka Izba Sądu Najwyższego nie ocenia pozostałych argumentów OSOBY_1, ponieważ ustalona podstawa uchylenia zaskarżonej decyzji na podstawie pkt 4 części pierwszej art. 52 ustawy nr 1798-VIII jest wystarczająca do uwzględnienia skargi, a uchylenie decyzji WRS powoduje ponowne rozpoznanie sprawy dyscyplinarnej.</w:t>
      </w:r>
    </w:p>
    <w:p w14:paraId="761911EA" w14:textId="77777777" w:rsidR="00F33CF3" w:rsidRPr="00F33CF3" w:rsidRDefault="00F33CF3" w:rsidP="00F33CF3">
      <w:pPr>
        <w:pStyle w:val="21"/>
        <w:rPr>
          <w:lang w:val="ru-RU"/>
        </w:rPr>
      </w:pPr>
      <w:r>
        <w:rPr>
          <w:lang w:val="pl-PL"/>
        </w:rPr>
        <w:t xml:space="preserve">Wnioski Wielkiej Izby Sądu Najwyższego</w:t>
      </w:r>
    </w:p>
    <w:p w14:paraId="3AD130B9" w14:textId="77777777" w:rsidR="00F33CF3" w:rsidRPr="00F33CF3" w:rsidRDefault="00F33CF3" w:rsidP="00F33CF3">
      <w:pPr>
        <w:pStyle w:val="LegalNumberedParagraph"/>
        <w:jc w:val="both"/>
        <w:rPr>
          <w:lang w:val="ru-RU"/>
        </w:rPr>
      </w:pPr>
      <w:r>
        <w:rPr>
          <w:lang w:val="pl-PL"/>
        </w:rPr>
        <w:t xml:space="preserve">67. Zaskarżona decyzja WRS z dnia 24 września 2024 r. nr 2795/0/15-24 nie zawiera wystarczającego uzasadnienia co do istnienia w działaniach sędziego OSOBY_1 znamion przewinienia dyscyplinarnego, o którym mowa w lit. a) pkt 1 części pierwszej art. 106 ustawy nr 1402-VIII.</w:t>
      </w:r>
    </w:p>
    <w:p w14:paraId="064706A5" w14:textId="77777777" w:rsidR="00F33CF3" w:rsidRPr="00F33CF3" w:rsidRDefault="00F33CF3" w:rsidP="00F33CF3">
      <w:pPr>
        <w:pStyle w:val="LegalNumberedParagraph"/>
        <w:jc w:val="both"/>
        <w:rPr>
          <w:lang w:val="ru-RU"/>
        </w:rPr>
      </w:pPr>
      <w:r>
        <w:rPr>
          <w:lang w:val="pl-PL"/>
        </w:rPr>
        <w:t xml:space="preserve">68. WRS była uprawniona zbadać, czy przed urlopem i samoizolacją sędzia posiadał realną wiedzę o krytycznym terminie tymczasowego aresztowania oraz realną możliwość poinformowania właściwych osób o konieczności rozstrzygnięcia kwestii środka zapobiegawczego. WRS nie uzasadniła jednak w należyty sposób, dlaczego niepodjęcie właśnie takich działań było istotne, zawinione, pozostawało w bezpośrednim związku przyczynowym z negatywnymi skutkami procesowymi i odpowiadało znamionom przewinienia dyscyplinarnego przewidzianego ustawą.</w:t>
      </w:r>
    </w:p>
    <w:p w14:paraId="6DD6AED2" w14:textId="77777777" w:rsidR="00F33CF3" w:rsidRPr="00F33CF3" w:rsidRDefault="00F33CF3" w:rsidP="00F33CF3">
      <w:pPr>
        <w:pStyle w:val="LegalNumberedParagraph"/>
        <w:jc w:val="both"/>
        <w:rPr>
          <w:lang w:val="ru-RU"/>
        </w:rPr>
      </w:pPr>
      <w:r>
        <w:rPr>
          <w:lang w:val="pl-PL"/>
        </w:rPr>
        <w:t xml:space="preserve">69. Przebywanie sędziego na urlopie, zwolnieniu lekarskim lub w samoizolacji może wyłączać lub istotnie ograniczać możliwość sprawowania wymiaru sprawiedliwości. Jednocześnie okoliczności te nie wykluczają zbadania, czy sędzia przed ich wystąpieniem podjął minimalne działania organizacyjne w celu niedopuszczenia do naruszenia krytycznego terminu procesowego.</w:t>
      </w:r>
    </w:p>
    <w:p w14:paraId="5FFDA80C" w14:textId="77777777" w:rsidR="00F33CF3" w:rsidRPr="00F33CF3" w:rsidRDefault="00F33CF3" w:rsidP="00F33CF3">
      <w:pPr>
        <w:pStyle w:val="LegalNumberedParagraph"/>
        <w:jc w:val="both"/>
        <w:rPr>
          <w:lang w:val="ru-RU"/>
        </w:rPr>
      </w:pPr>
      <w:r>
        <w:rPr>
          <w:lang w:val="pl-PL"/>
        </w:rPr>
        <w:t xml:space="preserve">70. Zasady obiegu dokumentów sądowych nie zastępują przepisów prawa procesowego, lecz mogą być uwzględniane w powiązaniu z normami procesowymi, statusowymi obowiązkami sędziego, faktyczną wiedzą o krytycznym terminie, realną możliwością działania, skutkami oraz związkiem przyczynowym.</w:t>
      </w:r>
    </w:p>
    <w:p w14:paraId="2124B4A5" w14:textId="77777777" w:rsidR="00F33CF3" w:rsidRPr="00F33CF3" w:rsidRDefault="00F33CF3" w:rsidP="00F33CF3">
      <w:pPr>
        <w:pStyle w:val="LegalNumberedParagraph"/>
        <w:jc w:val="both"/>
        <w:rPr>
          <w:lang w:val="ru-RU"/>
        </w:rPr>
      </w:pPr>
      <w:r>
        <w:rPr>
          <w:lang w:val="pl-PL"/>
        </w:rPr>
        <w:t xml:space="preserve">71. Decyzja WRS podlega uchyleniu na podstawie pkt 4 części pierwszej art. 52 ustawy nr 1798-VIII, a sprawa dyscyplinarna – ponownemu rozpoznaniu przez WRS w trybie określonym ustawą.</w:t>
      </w:r>
    </w:p>
    <w:p w14:paraId="1832E114" w14:textId="77777777" w:rsidR="00F33CF3" w:rsidRPr="00F33CF3" w:rsidRDefault="00F33CF3" w:rsidP="00F33CF3">
      <w:pPr>
        <w:jc w:val="both"/>
        <w:rPr>
          <w:lang w:val="ru-RU"/>
        </w:rPr>
      </w:pPr>
      <w:r>
        <w:rPr>
          <w:lang w:val="pl-PL"/>
        </w:rPr>
        <w:t xml:space="preserve">Kierując się art. 266, 341, 344, 349, 351, 356 i 359 Kodeksu sądownictwa administracyjnego Ukrainy, Wielka Izba Sądu Najwyższego</w:t>
      </w:r>
    </w:p>
    <w:p w14:paraId="72F18C83" w14:textId="77777777" w:rsidR="00F33CF3" w:rsidRPr="00F33CF3" w:rsidRDefault="00F33CF3" w:rsidP="00F33CF3">
      <w:pPr>
        <w:pStyle w:val="1"/>
        <w:jc w:val="center"/>
        <w:rPr>
          <w:lang w:val="ru-RU"/>
        </w:rPr>
      </w:pPr>
      <w:r>
        <w:rPr>
          <w:lang w:val="pl-PL"/>
        </w:rPr>
        <w:t xml:space="preserve">POSTANOWIŁA:</w:t>
      </w:r>
    </w:p>
    <w:p w14:paraId="37A86C09" w14:textId="77777777" w:rsidR="00F33CF3" w:rsidRPr="00F33CF3" w:rsidRDefault="00F33CF3" w:rsidP="00F33CF3">
      <w:pPr>
        <w:pStyle w:val="LegalNumberedParagraph"/>
        <w:jc w:val="both"/>
        <w:rPr>
          <w:lang w:val="ru-RU"/>
        </w:rPr>
      </w:pPr>
      <w:r>
        <w:rPr>
          <w:lang w:val="pl-PL"/>
        </w:rPr>
        <w:t xml:space="preserve">1. Skargę OSOBY_1 na decyzję Wyższej Rady Sprawiedliwości z dnia 24 września 2024 r. nr 2795/0/15-24, wydaną w wyniku rozpatrzenia jego skargi na decyzję Trzeciej Izby Dyscyplinarnej Wyższej Rady Sprawiedliwości z dnia 21 lipca 2021 r. nr 1645/3dp/15-21, uwzględnić.</w:t>
      </w:r>
    </w:p>
    <w:p w14:paraId="53456538" w14:textId="77777777" w:rsidR="00F33CF3" w:rsidRPr="00F33CF3" w:rsidRDefault="00F33CF3" w:rsidP="00F33CF3">
      <w:pPr>
        <w:pStyle w:val="LegalNumberedParagraph"/>
        <w:jc w:val="both"/>
        <w:rPr>
          <w:lang w:val="ru-RU"/>
        </w:rPr>
      </w:pPr>
      <w:r>
        <w:rPr>
          <w:lang w:val="pl-PL"/>
        </w:rPr>
        <w:t xml:space="preserve">2. Uchylić decyzję Wyższej Rady Sprawiedliwości z dnia 24 września 2024 r. nr 2795/0/15-24 „W sprawie częściowego uchylenia decyzji Trzeciej Izby Dyscyplinarnej Wyższej Rady Sprawiedliwości z dnia 21 lipca 2021 r. nr 1645/3dp/15-21 o pociągnięciu sędziego Sądu Apelacyjnego w Sumach OSOBY_1 do odpowiedzialności dyscyplinarnej i wydania nowej decyzji”.</w:t>
      </w:r>
    </w:p>
    <w:p w14:paraId="2848E7EB" w14:textId="77777777" w:rsidR="00F33CF3" w:rsidRPr="00F33CF3" w:rsidRDefault="00F33CF3" w:rsidP="00F33CF3">
      <w:pPr>
        <w:pStyle w:val="LegalNumberedParagraph"/>
        <w:jc w:val="both"/>
        <w:rPr>
          <w:lang w:val="ru-RU"/>
        </w:rPr>
      </w:pPr>
      <w:r>
        <w:rPr>
          <w:lang w:val="pl-PL"/>
        </w:rPr>
        <w:t xml:space="preserve">3. Postanowienie wchodzi w życie z dniem jego wydania, jest ostateczne i nie podlega zaskarżeniu.</w:t>
      </w:r>
    </w:p>
    <w:p w14:paraId="0FF5DC4B" w14:textId="77777777" w:rsidR="00F33CF3" w:rsidRPr="00F33CF3" w:rsidRDefault="00F33CF3" w:rsidP="00F33CF3">
      <w:pPr>
        <w:pStyle w:val="1d"/>
        <w:rPr>
          <w:lang w:val="ru-RU"/>
        </w:rPr>
      </w:pPr>
      <w:r>
        <w:rPr>
          <w:lang w:val="pl-PL"/>
        </w:rPr>
        <w:t xml:space="preserve">Przewodniczący W. J. Urkewycz</w:t>
      </w:r>
    </w:p>
    <w:p w14:paraId="6610EC61" w14:textId="77777777" w:rsidR="00F33CF3" w:rsidRPr="00F33CF3" w:rsidRDefault="00F33CF3" w:rsidP="00F33CF3">
      <w:pPr>
        <w:pStyle w:val="1d"/>
        <w:rPr>
          <w:lang w:val="ru-RU"/>
        </w:rPr>
      </w:pPr>
      <w:r>
        <w:rPr>
          <w:lang w:val="pl-PL"/>
        </w:rPr>
        <w:t xml:space="preserve">Sędzia sprawozdawca N. W. Szewcowa</w:t>
      </w:r>
    </w:p>
    <w:p w14:paraId="32493BDA" w14:textId="77777777" w:rsidR="00F33CF3" w:rsidRPr="00F33CF3" w:rsidRDefault="00F33CF3" w:rsidP="00F33CF3">
      <w:pPr>
        <w:pStyle w:val="1d"/>
        <w:rPr>
          <w:lang w:val="ru-RU"/>
        </w:rPr>
      </w:pPr>
      <w:r>
        <w:rPr>
          <w:lang w:val="pl-PL"/>
        </w:rPr>
        <w:t xml:space="preserve">Sędziowie:</w:t>
      </w:r>
    </w:p>
    <w:p w14:paraId="3E89E247" w14:textId="77777777" w:rsidR="00F33CF3" w:rsidRPr="00F33CF3" w:rsidRDefault="00F33CF3" w:rsidP="00F33CF3">
      <w:pPr>
        <w:pStyle w:val="1d"/>
        <w:rPr>
          <w:lang w:val="ru-RU"/>
        </w:rPr>
      </w:pPr>
      <w:r>
        <w:rPr>
          <w:lang w:val="pl-PL"/>
        </w:rPr>
        <w:t xml:space="preserve">O. O. Banasko</w:t>
      </w:r>
    </w:p>
    <w:p w14:paraId="4ABA8D97" w14:textId="77777777" w:rsidR="00F33CF3" w:rsidRPr="00F33CF3" w:rsidRDefault="00F33CF3" w:rsidP="00F33CF3">
      <w:pPr>
        <w:pStyle w:val="1d"/>
        <w:rPr>
          <w:lang w:val="ru-RU"/>
        </w:rPr>
      </w:pPr>
      <w:r>
        <w:rPr>
          <w:lang w:val="pl-PL"/>
        </w:rPr>
        <w:t xml:space="preserve">O. L. Bulejko</w:t>
      </w:r>
    </w:p>
    <w:p w14:paraId="71D6C4DA" w14:textId="77777777" w:rsidR="00F33CF3" w:rsidRPr="00F33CF3" w:rsidRDefault="00F33CF3" w:rsidP="00F33CF3">
      <w:pPr>
        <w:pStyle w:val="1d"/>
        <w:rPr>
          <w:lang w:val="ru-RU"/>
        </w:rPr>
      </w:pPr>
      <w:r>
        <w:rPr>
          <w:lang w:val="pl-PL"/>
        </w:rPr>
        <w:t xml:space="preserve">J. L. Własow</w:t>
      </w:r>
    </w:p>
    <w:p w14:paraId="574AC7B8" w14:textId="77777777" w:rsidR="00F33CF3" w:rsidRPr="00F33CF3" w:rsidRDefault="00F33CF3" w:rsidP="00F33CF3">
      <w:pPr>
        <w:pStyle w:val="1d"/>
        <w:rPr>
          <w:lang w:val="ru-RU"/>
        </w:rPr>
      </w:pPr>
      <w:r>
        <w:rPr>
          <w:lang w:val="pl-PL"/>
        </w:rPr>
        <w:t xml:space="preserve">M. I. Hryciw</w:t>
      </w:r>
    </w:p>
    <w:p w14:paraId="6ADCC6AB" w14:textId="77777777" w:rsidR="00F33CF3" w:rsidRPr="00F33CF3" w:rsidRDefault="00F33CF3" w:rsidP="00F33CF3">
      <w:pPr>
        <w:pStyle w:val="1d"/>
        <w:rPr>
          <w:lang w:val="ru-RU"/>
        </w:rPr>
      </w:pPr>
      <w:r>
        <w:rPr>
          <w:lang w:val="pl-PL"/>
        </w:rPr>
        <w:t xml:space="preserve">Ż. M. Jelenina</w:t>
      </w:r>
    </w:p>
    <w:p w14:paraId="32BE6C62" w14:textId="77777777" w:rsidR="00F33CF3" w:rsidRPr="00F33CF3" w:rsidRDefault="00F33CF3" w:rsidP="00F33CF3">
      <w:pPr>
        <w:pStyle w:val="1d"/>
        <w:rPr>
          <w:lang w:val="ru-RU"/>
        </w:rPr>
      </w:pPr>
      <w:r>
        <w:rPr>
          <w:lang w:val="pl-PL"/>
        </w:rPr>
        <w:t xml:space="preserve">L. J. Kyszakewycz</w:t>
      </w:r>
    </w:p>
    <w:p w14:paraId="4E50B28F" w14:textId="77777777" w:rsidR="00F33CF3" w:rsidRPr="00F33CF3" w:rsidRDefault="00F33CF3" w:rsidP="00F33CF3">
      <w:pPr>
        <w:pStyle w:val="1d"/>
        <w:rPr>
          <w:lang w:val="ru-RU"/>
        </w:rPr>
      </w:pPr>
      <w:r>
        <w:rPr>
          <w:lang w:val="pl-PL"/>
        </w:rPr>
        <w:t xml:space="preserve">W. W. Korol</w:t>
      </w:r>
    </w:p>
    <w:p w14:paraId="08DEF251" w14:textId="77777777" w:rsidR="00F33CF3" w:rsidRPr="00F33CF3" w:rsidRDefault="00F33CF3" w:rsidP="00F33CF3">
      <w:pPr>
        <w:pStyle w:val="1d"/>
        <w:rPr>
          <w:lang w:val="ru-RU"/>
        </w:rPr>
      </w:pPr>
      <w:r>
        <w:rPr>
          <w:lang w:val="pl-PL"/>
        </w:rPr>
        <w:t xml:space="preserve">O. W. Krywenda</w:t>
      </w:r>
    </w:p>
    <w:p w14:paraId="6C02C326" w14:textId="77777777" w:rsidR="00F33CF3" w:rsidRPr="00F33CF3" w:rsidRDefault="00F33CF3" w:rsidP="00F33CF3">
      <w:pPr>
        <w:pStyle w:val="1d"/>
        <w:rPr>
          <w:lang w:val="ru-RU"/>
        </w:rPr>
      </w:pPr>
      <w:r>
        <w:rPr>
          <w:lang w:val="pl-PL"/>
        </w:rPr>
        <w:t xml:space="preserve">M. W. Mazur</w:t>
      </w:r>
    </w:p>
    <w:p w14:paraId="41056BB6" w14:textId="77777777" w:rsidR="00F33CF3" w:rsidRPr="00F33CF3" w:rsidRDefault="00F33CF3" w:rsidP="00F33CF3">
      <w:pPr>
        <w:pStyle w:val="1d"/>
        <w:rPr>
          <w:lang w:val="ru-RU"/>
        </w:rPr>
      </w:pPr>
      <w:r>
        <w:rPr>
          <w:lang w:val="pl-PL"/>
        </w:rPr>
        <w:t xml:space="preserve">K. M. Pilkow</w:t>
      </w:r>
    </w:p>
    <w:p w14:paraId="0801F5F8" w14:textId="77777777" w:rsidR="00F33CF3" w:rsidRPr="00F33CF3" w:rsidRDefault="00F33CF3" w:rsidP="00F33CF3">
      <w:pPr>
        <w:pStyle w:val="1d"/>
        <w:rPr>
          <w:lang w:val="ru-RU"/>
        </w:rPr>
      </w:pPr>
      <w:r>
        <w:rPr>
          <w:lang w:val="pl-PL"/>
        </w:rPr>
        <w:t xml:space="preserve">S. O. Pohribnyj</w:t>
      </w:r>
    </w:p>
    <w:p w14:paraId="4E45DE32" w14:textId="77777777" w:rsidR="00F33CF3" w:rsidRPr="00F33CF3" w:rsidRDefault="00F33CF3" w:rsidP="00F33CF3">
      <w:pPr>
        <w:pStyle w:val="1d"/>
        <w:rPr>
          <w:lang w:val="ru-RU"/>
        </w:rPr>
      </w:pPr>
      <w:r>
        <w:rPr>
          <w:lang w:val="pl-PL"/>
        </w:rPr>
        <w:t xml:space="preserve">O. W. Stupak</w:t>
      </w:r>
    </w:p>
    <w:p w14:paraId="6969F95B" w14:textId="77777777" w:rsidR="00F33CF3" w:rsidRPr="00F33CF3" w:rsidRDefault="00F33CF3" w:rsidP="00F33CF3">
      <w:pPr>
        <w:pStyle w:val="1d"/>
        <w:rPr>
          <w:lang w:val="ru-RU"/>
        </w:rPr>
      </w:pPr>
      <w:r>
        <w:rPr>
          <w:lang w:val="pl-PL"/>
        </w:rPr>
        <w:t xml:space="preserve">I. W. Tkacz</w:t>
      </w:r>
    </w:p>
    <w:p w14:paraId="2190060E" w14:textId="77777777" w:rsidR="00F33CF3" w:rsidRPr="00F33CF3" w:rsidRDefault="00F33CF3" w:rsidP="00F33CF3">
      <w:pPr>
        <w:pStyle w:val="1d"/>
        <w:rPr>
          <w:lang w:val="ru-RU"/>
        </w:rPr>
      </w:pPr>
      <w:r>
        <w:rPr>
          <w:lang w:val="pl-PL"/>
        </w:rPr>
        <w:t xml:space="preserve">Je. A. Usenko</w:t>
      </w:r>
    </w:p>
    <w:p w14:paraId="235D61F7" w14:textId="6D2F43D6" w:rsidR="000D35D9" w:rsidRPr="00301F26" w:rsidRDefault="000D35D9" w:rsidP="00F33CF3">
      <w:pPr>
        <w:pStyle w:val="CourtHeader"/>
        <w:rPr>
          <w:lang w:val="ru-RU"/>
        </w:rPr>
      </w:pPr>
    </w:p>
    <w:sectPr w:rsidR="000D35D9" w:rsidRPr="00301F26" w:rsidSect="00034616">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6DE81" w14:textId="77777777" w:rsidR="000D71DC" w:rsidRDefault="000D71DC">
      <w:pPr>
        <w:spacing w:after="0" w:line="240" w:lineRule="auto"/>
      </w:pPr>
      <w:r>
        <w:separator/>
      </w:r>
    </w:p>
  </w:endnote>
  <w:endnote w:type="continuationSeparator" w:id="0">
    <w:p w14:paraId="2ED6CF10" w14:textId="77777777" w:rsidR="000D71DC" w:rsidRDefault="000D7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35DE7" w14:textId="77777777" w:rsidR="000D35D9" w:rsidRDefault="00000000">
    <w:pPr>
      <w:jc w:val="right"/>
    </w:pPr>
    <w:r>
      <w:rPr>
        <w:sz w:val="18"/>
        <w:lang w:val="pl-PL"/>
      </w:rPr>
      <w:t xml:space="preserve">Zaktualizowany projekt alternatywny postanowienia Wielkiej Izby Sądu Najwyższego | str. </w:t>
    </w:r>
    <w:r>
      <w:fldChar w:fldCharType="begin"/>
    </w:r>
    <w:r>
      <w:instrText>PAGE</w:instrText>
    </w:r>
    <w:r>
      <w:fldChar w:fldCharType="separate"/>
    </w:r>
    <w:r w:rsidR="008B2E9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56744" w14:textId="77777777" w:rsidR="000D71DC" w:rsidRDefault="000D71DC">
      <w:pPr>
        <w:spacing w:after="0" w:line="240" w:lineRule="auto"/>
      </w:pPr>
      <w:r>
        <w:separator/>
      </w:r>
    </w:p>
  </w:footnote>
  <w:footnote w:type="continuationSeparator" w:id="0">
    <w:p w14:paraId="4D89A7AF" w14:textId="77777777" w:rsidR="000D71DC" w:rsidRDefault="000D71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78870853">
    <w:abstractNumId w:val="8"/>
  </w:num>
  <w:num w:numId="2" w16cid:durableId="1492019402">
    <w:abstractNumId w:val="6"/>
  </w:num>
  <w:num w:numId="3" w16cid:durableId="1876503385">
    <w:abstractNumId w:val="5"/>
  </w:num>
  <w:num w:numId="4" w16cid:durableId="1863669997">
    <w:abstractNumId w:val="4"/>
  </w:num>
  <w:num w:numId="5" w16cid:durableId="1798991005">
    <w:abstractNumId w:val="7"/>
  </w:num>
  <w:num w:numId="6" w16cid:durableId="505559206">
    <w:abstractNumId w:val="3"/>
  </w:num>
  <w:num w:numId="7" w16cid:durableId="1905800832">
    <w:abstractNumId w:val="2"/>
  </w:num>
  <w:num w:numId="8" w16cid:durableId="1695958657">
    <w:abstractNumId w:val="1"/>
  </w:num>
  <w:num w:numId="9" w16cid:durableId="1719544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35D9"/>
    <w:rsid w:val="000D71DC"/>
    <w:rsid w:val="0015074B"/>
    <w:rsid w:val="0029639D"/>
    <w:rsid w:val="00301F26"/>
    <w:rsid w:val="00326F90"/>
    <w:rsid w:val="00885F5E"/>
    <w:rsid w:val="008B2E9D"/>
    <w:rsid w:val="00AA1D8D"/>
    <w:rsid w:val="00B10844"/>
    <w:rsid w:val="00B47730"/>
    <w:rsid w:val="00CB0664"/>
    <w:rsid w:val="00EE36CA"/>
    <w:rsid w:val="00F33CF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6C6BBD"/>
  <w14:defaultImageDpi w14:val="300"/>
  <w15:docId w15:val="{7D10F8FE-873C-419F-B8BF-2938C169B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20" w:line="264" w:lineRule="auto"/>
    </w:pPr>
    <w:rPr>
      <w:rFonts w:ascii="Calibri" w:eastAsia="Calibri" w:hAnsi="Calibri"/>
    </w:rPr>
  </w:style>
  <w:style w:type="paragraph" w:styleId="1">
    <w:name w:val="heading 1"/>
    <w:basedOn w:val="a1"/>
    <w:next w:val="a1"/>
    <w:link w:val="10"/>
    <w:uiPriority w:val="9"/>
    <w:qFormat/>
    <w:rsid w:val="00FC693F"/>
    <w:pPr>
      <w:keepNext/>
      <w:keepLines/>
      <w:spacing w:before="200"/>
      <w:outlineLvl w:val="0"/>
    </w:pPr>
    <w:rPr>
      <w:rFonts w:asciiTheme="majorHAnsi" w:eastAsiaTheme="majorEastAsia" w:hAnsiTheme="majorHAnsi" w:cstheme="majorBidi"/>
      <w:b/>
      <w:bCs/>
      <w:color w:val="1F4E79"/>
      <w:sz w:val="28"/>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1F4E79"/>
      <w:sz w:val="24"/>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1F4E79"/>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і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і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keepNext/>
      <w:pBdr>
        <w:bottom w:val="single" w:sz="8" w:space="4" w:color="4F81BD" w:themeColor="accent1"/>
      </w:pBdr>
      <w:spacing w:before="200" w:line="240" w:lineRule="auto"/>
      <w:contextualSpacing/>
    </w:pPr>
    <w:rPr>
      <w:rFonts w:asciiTheme="majorHAnsi" w:eastAsiaTheme="majorEastAsia" w:hAnsiTheme="majorHAnsi" w:cstheme="majorBidi"/>
      <w:b/>
      <w:color w:val="1F4E79"/>
      <w:spacing w:val="5"/>
      <w:kern w:val="28"/>
      <w:sz w:val="32"/>
      <w:szCs w:val="52"/>
    </w:rPr>
  </w:style>
  <w:style w:type="character" w:customStyle="1" w:styleId="ab">
    <w:name w:val="Назва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і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style>
  <w:style w:type="character" w:customStyle="1" w:styleId="af0">
    <w:name w:val="Основний текст Знак"/>
    <w:basedOn w:val="a2"/>
    <w:link w:val="af"/>
    <w:uiPriority w:val="99"/>
    <w:rsid w:val="00AA1D8D"/>
  </w:style>
  <w:style w:type="paragraph" w:styleId="23">
    <w:name w:val="Body Text 2"/>
    <w:basedOn w:val="a1"/>
    <w:link w:val="24"/>
    <w:uiPriority w:val="99"/>
    <w:unhideWhenUsed/>
    <w:rsid w:val="00AA1D8D"/>
    <w:pPr>
      <w:spacing w:line="480" w:lineRule="auto"/>
    </w:pPr>
  </w:style>
  <w:style w:type="character" w:customStyle="1" w:styleId="24">
    <w:name w:val="Основний текст 2 Знак"/>
    <w:basedOn w:val="a2"/>
    <w:link w:val="23"/>
    <w:uiPriority w:val="99"/>
    <w:rsid w:val="00AA1D8D"/>
  </w:style>
  <w:style w:type="paragraph" w:styleId="33">
    <w:name w:val="Body Text 3"/>
    <w:basedOn w:val="a1"/>
    <w:link w:val="34"/>
    <w:uiPriority w:val="99"/>
    <w:unhideWhenUsed/>
    <w:rsid w:val="00AA1D8D"/>
    <w:rPr>
      <w:sz w:val="16"/>
      <w:szCs w:val="16"/>
    </w:rPr>
  </w:style>
  <w:style w:type="character" w:customStyle="1" w:styleId="34">
    <w:name w:val="Основни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ind w:left="360"/>
      <w:contextualSpacing/>
    </w:pPr>
  </w:style>
  <w:style w:type="paragraph" w:styleId="26">
    <w:name w:val="List Continue 2"/>
    <w:basedOn w:val="a1"/>
    <w:uiPriority w:val="99"/>
    <w:unhideWhenUsed/>
    <w:rsid w:val="0029639D"/>
    <w:pPr>
      <w:ind w:left="720"/>
      <w:contextualSpacing/>
    </w:pPr>
  </w:style>
  <w:style w:type="paragraph" w:styleId="36">
    <w:name w:val="List Continue 3"/>
    <w:basedOn w:val="a1"/>
    <w:uiPriority w:val="99"/>
    <w:unhideWhenUsed/>
    <w:rsid w:val="0029639D"/>
    <w:pPr>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у Знак"/>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Цитата Знак"/>
    <w:basedOn w:val="a2"/>
    <w:link w:val="af5"/>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Насичена цитата Знак"/>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7">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7">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1">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1">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8">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8">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2">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2">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9">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3">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3">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3">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4">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0">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0">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0">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a">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7">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1">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1">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1">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b">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1">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1">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1">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1">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2">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2">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c">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2">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2">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2">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a">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0">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0">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0">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0">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0">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d">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b">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4">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4">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e">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c">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5">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5">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b">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f">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d">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6">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6">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c">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f0">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e">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7">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7">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NumberedParagraph">
    <w:name w:val="Legal Numbered Paragraph"/>
    <w:basedOn w:val="a1"/>
  </w:style>
  <w:style w:type="paragraph" w:customStyle="1" w:styleId="CourtHeader">
    <w:name w:val="Court Header"/>
    <w:basedOn w:val="a1"/>
    <w:pPr>
      <w:spacing w:after="80"/>
      <w:jc w:val="center"/>
    </w:pPr>
    <w:rPr>
      <w:b/>
    </w:rPr>
  </w:style>
  <w:style w:type="paragraph" w:customStyle="1" w:styleId="1d">
    <w:name w:val="Підпис1"/>
    <w:basedOn w:val="a1"/>
    <w:pPr>
      <w:spacing w:before="40" w:after="40"/>
    </w:pPr>
  </w:style>
  <w:style w:type="character" w:styleId="affa">
    <w:name w:val="Hyperlink"/>
    <w:basedOn w:val="a2"/>
    <w:uiPriority w:val="99"/>
    <w:unhideWhenUsed/>
    <w:rsid w:val="00301F26"/>
    <w:rPr>
      <w:color w:val="0000FF" w:themeColor="hyperlink"/>
      <w:u w:val="single"/>
    </w:rPr>
  </w:style>
  <w:style w:type="character" w:styleId="affb">
    <w:name w:val="Unresolved Mention"/>
    <w:basedOn w:val="a2"/>
    <w:uiPriority w:val="99"/>
    <w:semiHidden/>
    <w:unhideWhenUsed/>
    <w:rsid w:val="00301F26"/>
    <w:rPr>
      <w:color w:val="605E5C"/>
      <w:shd w:val="clear" w:color="auto" w:fill="E1DFDD"/>
    </w:rPr>
  </w:style>
  <w:style w:type="character" w:styleId="affc">
    <w:name w:val="FollowedHyperlink"/>
    <w:basedOn w:val="a2"/>
    <w:uiPriority w:val="99"/>
    <w:semiHidden/>
    <w:unhideWhenUsed/>
    <w:rsid w:val="00301F2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yestr.court.gov.ua/Review/12707766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eyestr.court.gov.ua/Review/1272979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17534</Words>
  <Characters>9995</Characters>
  <Application>Microsoft Office Word</Application>
  <DocSecurity>0</DocSecurity>
  <Lines>83</Lines>
  <Paragraphs>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27475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Оновлений альтернативний проєкт постанови Великої Палати Верховного Суду</dc:title>
  <dc:subject/>
  <dc:creator>python-docx</dc:creator>
  <cp:keywords/>
  <dc:description>generated by python-docx</dc:description>
  <cp:lastModifiedBy>Олександр Гаврилюк</cp:lastModifiedBy>
  <cp:revision>3</cp:revision>
  <dcterms:created xsi:type="dcterms:W3CDTF">2026-06-19T11:05:00Z</dcterms:created>
  <dcterms:modified xsi:type="dcterms:W3CDTF">2026-06-19T11:17:00Z</dcterms:modified>
  <cp:category/>
  <dc:language>uk-UA</dc:language>
</cp:coreProperties>
</file>