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9BCD" w14:textId="77777777" w:rsidR="001F756E" w:rsidRPr="0024074A" w:rsidRDefault="001F756E" w:rsidP="0024074A">
      <w:pPr>
        <w:spacing w:before="0" w:after="240"/>
        <w:jc w:val="center"/>
      </w:pPr>
      <w:r>
        <w:rPr>
          <w:rFonts w:asciiTheme="majorHAnsi" w:hAnsiTheme="majorHAnsi"/>
          <w:b/>
          <w:color w:val="1F4E79"/>
          <w:sz w:val="32"/>
          <w:szCs w:val="32"/>
          <w:lang w:val="pl-PL"/>
        </w:rPr>
        <w:t xml:space="preserve">Uzasadnienie zalet alternatywnego projektu postanowienia</w:t>
      </w:r>
    </w:p>
    <w:p w14:paraId="7790DACA" w14:textId="77777777" w:rsidR="001F756E" w:rsidRPr="001F756E" w:rsidRDefault="001F756E" w:rsidP="001F756E">
      <w:pPr>
        <w:pStyle w:val="a3"/>
        <w:rPr>
          <w:rFonts w:ascii="Courier New" w:hAnsi="Courier New" w:cs="Courier New"/>
        </w:rPr>
      </w:pPr>
    </w:p>
    <w:p w14:paraId="0B2676FD" w14:textId="77777777" w:rsidR="001F756E" w:rsidRPr="001F756E" w:rsidRDefault="001F756E" w:rsidP="001F756E">
      <w:pPr>
        <w:keepNext/>
        <w:spacing w:before="200" w:after="120"/>
      </w:pPr>
      <w:r>
        <w:rPr>
          <w:rFonts w:asciiTheme="majorHAnsi" w:hAnsiTheme="majorHAnsi"/>
          <w:b/>
          <w:color w:val="1F4E79"/>
          <w:sz w:val="24"/>
          <w:szCs w:val="24"/>
          <w:lang w:val="pl-PL"/>
        </w:rPr>
        <w:t xml:space="preserve">1. Ogólna zaleta alternatywnego projektu</w:t>
      </w:r>
    </w:p>
    <w:p w14:paraId="5DAF8846" w14:textId="77777777" w:rsidR="001F756E" w:rsidRPr="001F756E" w:rsidRDefault="001F756E" w:rsidP="001F756E">
      <w:pPr>
        <w:pStyle w:val="a3"/>
        <w:rPr>
          <w:rFonts w:ascii="Courier New" w:hAnsi="Courier New" w:cs="Courier New"/>
        </w:rPr>
      </w:pPr>
    </w:p>
    <w:p w14:paraId="320BC065" w14:textId="77777777" w:rsidR="001F756E" w:rsidRPr="001F756E" w:rsidRDefault="001F756E" w:rsidP="001F756E">
      <w:pPr>
        <w:spacing w:after="160" w:line="264" w:lineRule="auto"/>
        <w:jc w:val="both"/>
      </w:pPr>
      <w:r>
        <w:rPr>
          <w:lang w:val="pl-PL"/>
        </w:rPr>
        <w:t xml:space="preserve">Zaktualizowany projekt alternatywny zachowuje wynik obowiązującego postanowienia Wielkiej Izby Sądu Najwyższego: decyzja Wyższej Rady Sprawiedliwości podlega uchyleniu, ponieważ nie zawiera wystarczającego uzasadnienia w odniesieniu do wszystkich elementów przewinienia dyscyplinarnego. Jednocześnie projekt dodatkowo precyzuje kryteria uzasadnienia, które mają znaczenie dla przyszłych podobnych spraw.</w:t>
      </w:r>
    </w:p>
    <w:p w14:paraId="07E0A9CD" w14:textId="77777777" w:rsidR="001F756E" w:rsidRPr="001F756E" w:rsidRDefault="001F756E" w:rsidP="001F756E">
      <w:pPr>
        <w:pStyle w:val="a3"/>
        <w:rPr>
          <w:rFonts w:ascii="Courier New" w:hAnsi="Courier New" w:cs="Courier New"/>
        </w:rPr>
      </w:pPr>
    </w:p>
    <w:p w14:paraId="50DEDF69" w14:textId="77777777" w:rsidR="001F756E" w:rsidRPr="001F756E" w:rsidRDefault="001F756E" w:rsidP="001F756E">
      <w:pPr>
        <w:spacing w:after="160" w:line="264" w:lineRule="auto"/>
        <w:jc w:val="both"/>
      </w:pPr>
      <w:r>
        <w:rPr>
          <w:lang w:val="pl-PL"/>
        </w:rPr>
        <w:t xml:space="preserve">Zaleta projektu polega na tym, że nie ogranicza się on do stwierdzenia braków uzasadnienia. Wyjaśnia on, w jaki sposób WRS powinna weryfikować podobne sytuacje: czy sędzia miał konkretny obowiązek, czy miał realną możliwość jego wykonania, czy naruszenie było istotne, czy istniała wina, jakie dokładnie skutki nastąpiły oraz czy istnieje bezpośredni związek przyczynowy między zachowaniem sędziego a tymi skutkami.</w:t>
      </w:r>
    </w:p>
    <w:p w14:paraId="112D92FE" w14:textId="77777777" w:rsidR="001F756E" w:rsidRPr="001F756E" w:rsidRDefault="001F756E" w:rsidP="001F756E">
      <w:pPr>
        <w:pStyle w:val="a3"/>
        <w:rPr>
          <w:rFonts w:ascii="Courier New" w:hAnsi="Courier New" w:cs="Courier New"/>
        </w:rPr>
      </w:pPr>
    </w:p>
    <w:p w14:paraId="1C6CD791" w14:textId="77777777" w:rsidR="001F756E" w:rsidRPr="001F756E" w:rsidRDefault="001F756E" w:rsidP="001F756E">
      <w:pPr>
        <w:spacing w:after="160" w:line="264" w:lineRule="auto"/>
        <w:jc w:val="both"/>
      </w:pPr>
      <w:r>
        <w:rPr>
          <w:lang w:val="pl-PL"/>
        </w:rPr>
        <w:t xml:space="preserve">Takie podejście czyni przyszłe stosowanie prawa bardziej przewidywalnym. Sędzia, WRS i Sąd Najwyższy otrzymują nie tylko odpowiedź w konkretnej sprawie, lecz także zrozumiałe uzasadnienie prawne do oceny innych spraw dyscyplinarnych związanych z uchybieniem krytycznym terminom procesowym.</w:t>
      </w:r>
    </w:p>
    <w:p w14:paraId="16969F7C" w14:textId="77777777" w:rsidR="001F756E" w:rsidRPr="001F756E" w:rsidRDefault="001F756E" w:rsidP="001F756E">
      <w:pPr>
        <w:pStyle w:val="a3"/>
        <w:rPr>
          <w:rFonts w:ascii="Courier New" w:hAnsi="Courier New" w:cs="Courier New"/>
        </w:rPr>
      </w:pPr>
    </w:p>
    <w:p w14:paraId="2B71084D" w14:textId="77777777" w:rsidR="001F756E" w:rsidRPr="001F756E" w:rsidRDefault="001F756E" w:rsidP="001F756E">
      <w:pPr>
        <w:keepNext/>
        <w:spacing w:before="200" w:after="120"/>
      </w:pPr>
      <w:r>
        <w:rPr>
          <w:rFonts w:asciiTheme="majorHAnsi" w:hAnsiTheme="majorHAnsi"/>
          <w:b/>
          <w:color w:val="1F4E79"/>
          <w:sz w:val="24"/>
          <w:szCs w:val="24"/>
          <w:lang w:val="pl-PL"/>
        </w:rPr>
        <w:t xml:space="preserve">2. Dlaczego obowiązujące postanowienie jest prawidłowe co do wyniku, lecz niewystarczająco mocne jako przyszły standard</w:t>
      </w:r>
    </w:p>
    <w:p w14:paraId="2A584AEA" w14:textId="77777777" w:rsidR="001F756E" w:rsidRPr="001F756E" w:rsidRDefault="001F756E" w:rsidP="001F756E">
      <w:pPr>
        <w:pStyle w:val="a3"/>
        <w:rPr>
          <w:rFonts w:ascii="Courier New" w:hAnsi="Courier New" w:cs="Courier New"/>
        </w:rPr>
      </w:pPr>
    </w:p>
    <w:p w14:paraId="183EBDCA" w14:textId="77777777" w:rsidR="001F756E" w:rsidRPr="001F756E" w:rsidRDefault="001F756E" w:rsidP="001F756E">
      <w:pPr>
        <w:spacing w:after="160" w:line="264" w:lineRule="auto"/>
        <w:jc w:val="both"/>
      </w:pPr>
      <w:r>
        <w:rPr>
          <w:lang w:val="pl-PL"/>
        </w:rPr>
        <w:t xml:space="preserve">Obowiązujące postanowienie słusznie wychodzi z założenia, że decyzja WRS nie była wystarczająco uzasadniona. Wielka Izba zasadnie zwróciła uwagę, że WRS nie ustaliła konkretnych przepisów procesowych, które zostały istotnie naruszone przez sędziego, nie wyjaśniła znaczenia urlopu, samoizolacji oraz szczególnego mechanizmu przewidzianego w pkt 20-5 rozdziału XI KPK Ukrainy, i nie wykazała związku przyczynowego między zachowaniem sędziego a negatywnymi skutkami.</w:t>
      </w:r>
    </w:p>
    <w:p w14:paraId="3A03AC80" w14:textId="77777777" w:rsidR="001F756E" w:rsidRPr="001F756E" w:rsidRDefault="001F756E" w:rsidP="001F756E">
      <w:pPr>
        <w:pStyle w:val="a3"/>
        <w:rPr>
          <w:rFonts w:ascii="Courier New" w:hAnsi="Courier New" w:cs="Courier New"/>
        </w:rPr>
      </w:pPr>
    </w:p>
    <w:p w14:paraId="39FD743B" w14:textId="77777777" w:rsidR="001F756E" w:rsidRPr="001F756E" w:rsidRDefault="001F756E" w:rsidP="001F756E">
      <w:pPr>
        <w:spacing w:after="160" w:line="264" w:lineRule="auto"/>
        <w:jc w:val="both"/>
      </w:pPr>
      <w:r>
        <w:rPr>
          <w:lang w:val="pl-PL"/>
        </w:rPr>
        <w:t xml:space="preserve">Obowiązujące postanowienie jest jednak mniej przydatne do ukształtowania przyszłego standardu, ponieważ jego uzasadnienie skupia się przede wszystkim na brakach konkretnej decyzji WRS. Nie udziela ono dostatecznie rozwiniętej odpowiedzi na trudniejsze pytanie: jak postępować w sprawach, w których sędzia przed urlopem, chorobą lub samoizolacją wiedział o krytycznym terminie procesowym i mógł podjąć minimalne działania organizacyjne.</w:t>
      </w:r>
    </w:p>
    <w:p w14:paraId="4B60CB15" w14:textId="77777777" w:rsidR="001F756E" w:rsidRPr="001F756E" w:rsidRDefault="001F756E" w:rsidP="001F756E">
      <w:pPr>
        <w:pStyle w:val="a3"/>
        <w:rPr>
          <w:rFonts w:ascii="Courier New" w:hAnsi="Courier New" w:cs="Courier New"/>
        </w:rPr>
      </w:pPr>
    </w:p>
    <w:p w14:paraId="5B5BC1B0" w14:textId="77777777" w:rsidR="001F756E" w:rsidRPr="001F756E" w:rsidRDefault="001F756E" w:rsidP="001F756E">
      <w:pPr>
        <w:spacing w:after="160" w:line="264" w:lineRule="auto"/>
        <w:jc w:val="both"/>
      </w:pPr>
      <w:r>
        <w:rPr>
          <w:lang w:val="pl-PL"/>
        </w:rPr>
        <w:t xml:space="preserve">Właśnie ta luka ma istotne znaczenie dla przyszłej praktyki. Jeżeli nie zostanie ona wypełniona, może powstać wrażenie, że przebywanie sędziego na urlopie lub w samoizolacji niemal automatycznie osłabia lub wyklucza ocenę dyscyplinarną. Zaktualizowany projekt usuwa to ryzyko: uznaje znaczenie urlopu i samoizolacji, lecz nie przekształca ich w absolutny immunitet wobec kontroli dyscyplinarnej.</w:t>
      </w:r>
    </w:p>
    <w:p w14:paraId="6A226DB4" w14:textId="77777777" w:rsidR="001F756E" w:rsidRPr="001F756E" w:rsidRDefault="001F756E" w:rsidP="001F756E">
      <w:pPr>
        <w:pStyle w:val="a3"/>
        <w:rPr>
          <w:rFonts w:ascii="Courier New" w:hAnsi="Courier New" w:cs="Courier New"/>
        </w:rPr>
      </w:pPr>
    </w:p>
    <w:p w14:paraId="45D77A64" w14:textId="77777777" w:rsidR="001F756E" w:rsidRPr="001F756E" w:rsidRDefault="001F756E" w:rsidP="001F756E">
      <w:pPr>
        <w:keepNext/>
        <w:spacing w:before="200" w:after="120"/>
      </w:pPr>
      <w:r>
        <w:rPr>
          <w:rFonts w:asciiTheme="majorHAnsi" w:hAnsiTheme="majorHAnsi"/>
          <w:b/>
          <w:color w:val="1F4E79"/>
          <w:sz w:val="24"/>
          <w:szCs w:val="24"/>
          <w:lang w:val="pl-PL"/>
        </w:rPr>
        <w:t xml:space="preserve">3. Co słusznie podkreśla zdanie odrębne</w:t>
      </w:r>
    </w:p>
    <w:p w14:paraId="767F2CA9" w14:textId="77777777" w:rsidR="001F756E" w:rsidRPr="001F756E" w:rsidRDefault="001F756E" w:rsidP="001F756E">
      <w:pPr>
        <w:pStyle w:val="a3"/>
        <w:rPr>
          <w:rFonts w:ascii="Courier New" w:hAnsi="Courier New" w:cs="Courier New"/>
        </w:rPr>
      </w:pPr>
    </w:p>
    <w:p w14:paraId="07E1438A" w14:textId="77777777" w:rsidR="001F756E" w:rsidRPr="001F756E" w:rsidRDefault="001F756E" w:rsidP="001F756E">
      <w:pPr>
        <w:spacing w:after="160" w:line="264" w:lineRule="auto"/>
        <w:jc w:val="both"/>
      </w:pPr>
      <w:r>
        <w:rPr>
          <w:lang w:val="pl-PL"/>
        </w:rPr>
        <w:t xml:space="preserve">Zdanie odrębne słusznie zwraca uwagę, że spór nie sprowadza się jedynie do kwestii, czy sędzia mógł działać po 2 listopada 2020 r., gdy wniosek prokuratora wpłynął do sądu w czasie jego urlopu. Przekonująco ukazuje ono inny aspekt czasowy: 26 października sędzia wyznaczył rozpoznanie kwestii przedłużenia okresu tymczasowego aresztowania, wiedział o krytycznym terminie przypadającym na 7 listopada, a 27 października złożył wniosek o urlop.</w:t>
      </w:r>
    </w:p>
    <w:p w14:paraId="67E8A739" w14:textId="77777777" w:rsidR="001F756E" w:rsidRPr="001F756E" w:rsidRDefault="001F756E" w:rsidP="001F756E">
      <w:pPr>
        <w:pStyle w:val="a3"/>
        <w:rPr>
          <w:rFonts w:ascii="Courier New" w:hAnsi="Courier New" w:cs="Courier New"/>
        </w:rPr>
      </w:pPr>
    </w:p>
    <w:p w14:paraId="63642858" w14:textId="77777777" w:rsidR="001F756E" w:rsidRPr="001F756E" w:rsidRDefault="001F756E" w:rsidP="001F756E">
      <w:pPr>
        <w:spacing w:after="160" w:line="264" w:lineRule="auto"/>
        <w:jc w:val="both"/>
      </w:pPr>
      <w:r>
        <w:rPr>
          <w:lang w:val="pl-PL"/>
        </w:rPr>
        <w:t xml:space="preserve">Dlatego WRS mogła co do zasady zbadać, czy sędzia przed urlopem miał realną możliwość poinformowania prezesa sądu, biura sądu lub innych członków składu orzekającego o krytycznym terminie i konieczności rozstrzygnięcia kwestii środka zapobiegawczego. Jest to istotny argument, którego obowiązujące postanowienie nie rozwija dostatecznie pełno.</w:t>
      </w:r>
    </w:p>
    <w:p w14:paraId="146CB4BA" w14:textId="77777777" w:rsidR="001F756E" w:rsidRPr="001F756E" w:rsidRDefault="001F756E" w:rsidP="001F756E">
      <w:pPr>
        <w:pStyle w:val="a3"/>
        <w:rPr>
          <w:rFonts w:ascii="Courier New" w:hAnsi="Courier New" w:cs="Courier New"/>
        </w:rPr>
      </w:pPr>
    </w:p>
    <w:p w14:paraId="295E079B" w14:textId="77777777" w:rsidR="001F756E" w:rsidRPr="001F756E" w:rsidRDefault="001F756E" w:rsidP="001F756E">
      <w:pPr>
        <w:spacing w:after="160" w:line="264" w:lineRule="auto"/>
        <w:jc w:val="both"/>
      </w:pPr>
      <w:r>
        <w:rPr>
          <w:lang w:val="pl-PL"/>
        </w:rPr>
        <w:t xml:space="preserve">Jednocześnie zdanie odrębne nie rozstrzyga w pełni kwestii granic odpowiedzialności dyscyplinarnej. Bardziej szczegółowo uzasadnia ono, dlaczego zachowanie sędziego mogło być problematyczne z punktu widzenia należytej organizacji pracy, lecz nie wyjaśnia do końca, w jaki sposób niepodjęcie działania organizacyjnego powinno zostać zakwalifikowane jako istotne naruszenie przepisów prawa procesowego przy sprawowaniu wymiaru sprawiedliwości w rozumieniu art. 106 ustawy nr 1402-VIII.</w:t>
      </w:r>
    </w:p>
    <w:p w14:paraId="17569C74" w14:textId="77777777" w:rsidR="001F756E" w:rsidRPr="001F756E" w:rsidRDefault="001F756E" w:rsidP="001F756E">
      <w:pPr>
        <w:pStyle w:val="a3"/>
        <w:rPr>
          <w:rFonts w:ascii="Courier New" w:hAnsi="Courier New" w:cs="Courier New"/>
        </w:rPr>
      </w:pPr>
    </w:p>
    <w:p w14:paraId="70BCCB21" w14:textId="77777777" w:rsidR="001F756E" w:rsidRPr="001F756E" w:rsidRDefault="001F756E" w:rsidP="001F756E">
      <w:pPr>
        <w:spacing w:after="160" w:line="264" w:lineRule="auto"/>
        <w:jc w:val="both"/>
      </w:pPr>
      <w:r>
        <w:rPr>
          <w:lang w:val="pl-PL"/>
        </w:rPr>
        <w:t xml:space="preserve">Innymi słowy, zdanie odrębne trafnie stawia pytanie, lecz jego odpowiedź wymaga dodatkowego uzasadnienia prawnego: trzeba nie tylko ustalić, że sędzia mógł poinformować o krytycznym terminie, lecz także wykazać, że niepodjęcie takiego działania było zawinione, istotne i pozostawało w bezpośrednim związku przyczynowym ze skutkami przewidzianymi ustawą.</w:t>
      </w:r>
    </w:p>
    <w:p w14:paraId="15C9ABA6" w14:textId="77777777" w:rsidR="001F756E" w:rsidRPr="001F756E" w:rsidRDefault="001F756E" w:rsidP="001F756E">
      <w:pPr>
        <w:pStyle w:val="a3"/>
        <w:rPr>
          <w:rFonts w:ascii="Courier New" w:hAnsi="Courier New" w:cs="Courier New"/>
        </w:rPr>
      </w:pPr>
    </w:p>
    <w:p w14:paraId="74CAC01D" w14:textId="77777777" w:rsidR="001F756E" w:rsidRPr="001F756E" w:rsidRDefault="001F756E" w:rsidP="001F756E">
      <w:pPr>
        <w:keepNext/>
        <w:spacing w:before="200" w:after="120"/>
      </w:pPr>
      <w:r>
        <w:rPr>
          <w:rFonts w:asciiTheme="majorHAnsi" w:hAnsiTheme="majorHAnsi"/>
          <w:b/>
          <w:color w:val="1F4E79"/>
          <w:sz w:val="24"/>
          <w:szCs w:val="24"/>
          <w:lang w:val="pl-PL"/>
        </w:rPr>
        <w:t xml:space="preserve">4. Jak projekt alternatywny łączy podejście większości i zdania odrębnego</w:t>
      </w:r>
    </w:p>
    <w:p w14:paraId="21391D4F" w14:textId="77777777" w:rsidR="001F756E" w:rsidRPr="001F756E" w:rsidRDefault="001F756E" w:rsidP="001F756E">
      <w:pPr>
        <w:pStyle w:val="a3"/>
        <w:rPr>
          <w:rFonts w:ascii="Courier New" w:hAnsi="Courier New" w:cs="Courier New"/>
        </w:rPr>
      </w:pPr>
    </w:p>
    <w:p w14:paraId="27263472" w14:textId="77777777" w:rsidR="001F756E" w:rsidRPr="001F756E" w:rsidRDefault="001F756E" w:rsidP="001F756E">
      <w:pPr>
        <w:spacing w:after="160" w:line="264" w:lineRule="auto"/>
        <w:jc w:val="both"/>
      </w:pPr>
      <w:r>
        <w:rPr>
          <w:lang w:val="pl-PL"/>
        </w:rPr>
        <w:t xml:space="preserve">Zaktualizowany projekt alternatywny łączy kluczowe elementy obu podejść.</w:t>
      </w:r>
    </w:p>
    <w:p w14:paraId="7FB6BD98" w14:textId="77777777" w:rsidR="001F756E" w:rsidRPr="001F756E" w:rsidRDefault="001F756E" w:rsidP="001F756E">
      <w:pPr>
        <w:pStyle w:val="a3"/>
        <w:rPr>
          <w:rFonts w:ascii="Courier New" w:hAnsi="Courier New" w:cs="Courier New"/>
        </w:rPr>
      </w:pPr>
    </w:p>
    <w:p w14:paraId="20947BAA" w14:textId="77777777" w:rsidR="001F756E" w:rsidRPr="001F756E" w:rsidRDefault="001F756E" w:rsidP="001F756E">
      <w:pPr>
        <w:spacing w:after="160" w:line="264" w:lineRule="auto"/>
        <w:jc w:val="both"/>
      </w:pPr>
      <w:r>
        <w:rPr>
          <w:lang w:val="pl-PL"/>
        </w:rPr>
        <w:t xml:space="preserve">Z obowiązującego postanowienia zachowuje główną zasadę: sędziego nie można pociągnąć do odpowiedzialności dyscyplinarnej wyłącznie z powodu negatywnego wyniku procesowego. Dla odpowiedzialności dyscyplinarnej nie wystarczy stwierdzić, że osobę zwolniono z aresztu lub że kwestia środka zapobiegawczego nie została rozstrzygnięta w terminie. Konieczne jest ustalenie wszystkich elementów znamion przewinienia.</w:t>
      </w:r>
    </w:p>
    <w:p w14:paraId="7B58DD94" w14:textId="77777777" w:rsidR="001F756E" w:rsidRPr="001F756E" w:rsidRDefault="001F756E" w:rsidP="001F756E">
      <w:pPr>
        <w:pStyle w:val="a3"/>
        <w:rPr>
          <w:rFonts w:ascii="Courier New" w:hAnsi="Courier New" w:cs="Courier New"/>
        </w:rPr>
      </w:pPr>
    </w:p>
    <w:p w14:paraId="1B397925" w14:textId="77777777" w:rsidR="001F756E" w:rsidRPr="001F756E" w:rsidRDefault="001F756E" w:rsidP="001F756E">
      <w:pPr>
        <w:spacing w:after="160" w:line="264" w:lineRule="auto"/>
        <w:jc w:val="both"/>
      </w:pPr>
      <w:r>
        <w:rPr>
          <w:lang w:val="pl-PL"/>
        </w:rPr>
        <w:t xml:space="preserve">Ze zdania odrębnego projekt przejmuje istotne doprecyzowanie: należy analizować nie tylko okres, w którym sędzia przebywał już na urlopie lub w samoizolacji, lecz także okres poprzedzający. Jeżeli sędzia przed wyłączeniem się ze sprawy wiedział o krytycznym terminie i miał realną możliwość uprzedzenia prezesa sądu, biura sądu lub składu orzekającego, WRS ma prawo zbadać takie zachowanie.</w:t>
      </w:r>
    </w:p>
    <w:p w14:paraId="06E93605" w14:textId="77777777" w:rsidR="001F756E" w:rsidRPr="001F756E" w:rsidRDefault="001F756E" w:rsidP="001F756E">
      <w:pPr>
        <w:pStyle w:val="a3"/>
        <w:rPr>
          <w:rFonts w:ascii="Courier New" w:hAnsi="Courier New" w:cs="Courier New"/>
        </w:rPr>
      </w:pPr>
    </w:p>
    <w:p w14:paraId="3BCA0C6C" w14:textId="77777777" w:rsidR="001F756E" w:rsidRPr="001F756E" w:rsidRDefault="001F756E" w:rsidP="001F756E">
      <w:pPr>
        <w:spacing w:after="160" w:line="264" w:lineRule="auto"/>
        <w:jc w:val="both"/>
      </w:pPr>
      <w:r>
        <w:rPr>
          <w:lang w:val="pl-PL"/>
        </w:rPr>
        <w:t xml:space="preserve">Projekt alternatywny nie przyjmuje jednak automatycznie ostatecznego wniosku zdania odrębnego. Nie twierdzi on, że decyzję WRS należało pozostawić bez zmian. Przeciwnie, wyjaśnia: WRS miała prawo postawić pytanie o zachowanie sędziego przed urlopem, lecz powinna była należycie wykazać i uzasadnić cały związek przyczynowo-skutkowy. Ponieważ tego nie uczyniono, decyzja WRS podlega uchyleniu.</w:t>
      </w:r>
    </w:p>
    <w:p w14:paraId="514B6453" w14:textId="77777777" w:rsidR="001F756E" w:rsidRPr="001F756E" w:rsidRDefault="001F756E" w:rsidP="001F756E">
      <w:pPr>
        <w:pStyle w:val="a3"/>
        <w:rPr>
          <w:rFonts w:ascii="Courier New" w:hAnsi="Courier New" w:cs="Courier New"/>
        </w:rPr>
      </w:pPr>
    </w:p>
    <w:p w14:paraId="54549CDE" w14:textId="77777777" w:rsidR="001F756E" w:rsidRPr="001F756E" w:rsidRDefault="001F756E" w:rsidP="001F756E">
      <w:pPr>
        <w:spacing w:after="160" w:line="264" w:lineRule="auto"/>
        <w:jc w:val="both"/>
      </w:pPr>
      <w:r>
        <w:rPr>
          <w:lang w:val="pl-PL"/>
        </w:rPr>
        <w:t xml:space="preserve">Na tym właśnie polega równowaga. Sędzia nie jest zwolniony z jakiejkolwiek oceny wyłącznie z powodu urlopu lub COVID-19, lecz WRS nie może również ograniczyć się do ogólnego odwołania się do negatywnych skutków i zasad obiegu dokumentów.</w:t>
      </w:r>
    </w:p>
    <w:p w14:paraId="4D12CCE2" w14:textId="77777777" w:rsidR="001F756E" w:rsidRPr="001F756E" w:rsidRDefault="001F756E" w:rsidP="001F756E">
      <w:pPr>
        <w:pStyle w:val="a3"/>
        <w:rPr>
          <w:rFonts w:ascii="Courier New" w:hAnsi="Courier New" w:cs="Courier New"/>
        </w:rPr>
      </w:pPr>
    </w:p>
    <w:p w14:paraId="654AEAF1" w14:textId="77777777" w:rsidR="001F756E" w:rsidRPr="001F756E" w:rsidRDefault="001F756E" w:rsidP="001F756E">
      <w:pPr>
        <w:keepNext/>
        <w:spacing w:before="200" w:after="120"/>
      </w:pPr>
      <w:r>
        <w:rPr>
          <w:rFonts w:asciiTheme="majorHAnsi" w:hAnsiTheme="majorHAnsi"/>
          <w:b/>
          <w:color w:val="1F4E79"/>
          <w:sz w:val="24"/>
          <w:szCs w:val="24"/>
          <w:lang w:val="pl-PL"/>
        </w:rPr>
        <w:t xml:space="preserve">5. Dlaczego spójna dwuetapowa weryfikacja lepiej sprawdza się w przyszłych sprawach</w:t>
      </w:r>
    </w:p>
    <w:p w14:paraId="06240E86" w14:textId="77777777" w:rsidR="001F756E" w:rsidRPr="001F756E" w:rsidRDefault="001F756E" w:rsidP="001F756E">
      <w:pPr>
        <w:pStyle w:val="a3"/>
        <w:rPr>
          <w:rFonts w:ascii="Courier New" w:hAnsi="Courier New" w:cs="Courier New"/>
        </w:rPr>
      </w:pPr>
    </w:p>
    <w:p w14:paraId="304DDE88" w14:textId="77777777" w:rsidR="001F756E" w:rsidRPr="001F756E" w:rsidRDefault="001F756E" w:rsidP="001F756E">
      <w:pPr>
        <w:spacing w:after="160" w:line="264" w:lineRule="auto"/>
        <w:jc w:val="both"/>
      </w:pPr>
      <w:r>
        <w:rPr>
          <w:lang w:val="pl-PL"/>
        </w:rPr>
        <w:t xml:space="preserve">Zaproponowana spójna, dwuetapowa weryfikacja jest lepiej przystosowana do przyszłych spraw, ponieważ rozdziela dwie odrębne kwestie.</w:t>
      </w:r>
    </w:p>
    <w:p w14:paraId="365ED58F" w14:textId="77777777" w:rsidR="001F756E" w:rsidRPr="001F756E" w:rsidRDefault="001F756E" w:rsidP="001F756E">
      <w:pPr>
        <w:pStyle w:val="a3"/>
        <w:rPr>
          <w:rFonts w:ascii="Courier New" w:hAnsi="Courier New" w:cs="Courier New"/>
        </w:rPr>
      </w:pPr>
    </w:p>
    <w:p w14:paraId="6F3393BB" w14:textId="77777777" w:rsidR="001F756E" w:rsidRPr="001F756E" w:rsidRDefault="001F756E" w:rsidP="001F756E">
      <w:pPr>
        <w:spacing w:after="160" w:line="264" w:lineRule="auto"/>
        <w:jc w:val="both"/>
      </w:pPr>
      <w:r>
        <w:rPr>
          <w:lang w:val="pl-PL"/>
        </w:rPr>
        <w:t xml:space="preserve">Pierwszy etap wyjaśnia, czy sędzia przed urlopem, chorobą, samoizolacją lub inną okolicznością posiadał realną wiedzę o krytycznym terminie procesowym oraz realną możliwość podjęcia minimalnych działań organizacyjnych. Pozwala to uwzględnić argument zdania odrębnego i nie sprowadzać całej sprawy jedynie do niemożności działania w okresie urlopu.</w:t>
      </w:r>
    </w:p>
    <w:p w14:paraId="28B76366" w14:textId="77777777" w:rsidR="001F756E" w:rsidRPr="001F756E" w:rsidRDefault="001F756E" w:rsidP="001F756E">
      <w:pPr>
        <w:pStyle w:val="a3"/>
        <w:rPr>
          <w:rFonts w:ascii="Courier New" w:hAnsi="Courier New" w:cs="Courier New"/>
        </w:rPr>
      </w:pPr>
    </w:p>
    <w:p w14:paraId="1E6CFA47" w14:textId="77777777" w:rsidR="001F756E" w:rsidRPr="001F756E" w:rsidRDefault="001F756E" w:rsidP="001F756E">
      <w:pPr>
        <w:spacing w:after="160" w:line="264" w:lineRule="auto"/>
        <w:jc w:val="both"/>
      </w:pPr>
      <w:r>
        <w:rPr>
          <w:lang w:val="pl-PL"/>
        </w:rPr>
        <w:t xml:space="preserve">Drugi etap wyjaśnia, czy WRS wykazała, że niepodjęcie takich działań nie było jedynie niepożądanym błędem organizacyjnym, lecz właśnie istotnym, zawinionym naruszeniem, które wywołało skutki przewidziane ustawą i pozostawało z nimi w bezpośrednim związku przyczynowym. Zachowuje to gwarancje niezawisłości sędziego i nie pozwala przekształcić odpowiedzialności dyscyplinarnej w odpowiedzialność za wynik.</w:t>
      </w:r>
    </w:p>
    <w:p w14:paraId="55CA2E70" w14:textId="77777777" w:rsidR="001F756E" w:rsidRPr="001F756E" w:rsidRDefault="001F756E" w:rsidP="001F756E">
      <w:pPr>
        <w:pStyle w:val="a3"/>
        <w:rPr>
          <w:rFonts w:ascii="Courier New" w:hAnsi="Courier New" w:cs="Courier New"/>
        </w:rPr>
      </w:pPr>
    </w:p>
    <w:p w14:paraId="486464D1" w14:textId="77777777" w:rsidR="001F756E" w:rsidRPr="001F756E" w:rsidRDefault="001F756E" w:rsidP="001F756E">
      <w:pPr>
        <w:spacing w:after="160" w:line="264" w:lineRule="auto"/>
        <w:jc w:val="both"/>
      </w:pPr>
      <w:r>
        <w:rPr>
          <w:lang w:val="pl-PL"/>
        </w:rPr>
        <w:t xml:space="preserve">Taka weryfikacja jest przydatna w różnych przyszłych sytuacjach: urlop, zwolnienie lekarskie, samoizolacja, nagła choroba, delegacja, inne okoliczności ograniczające możliwość sprawowania wymiaru sprawiedliwości. Pozwala ona WRS i sądowi konsekwentnie badać nie tylko to, co wydarzyło się po wyłączeniu się sędziego ze sprawy, lecz także to, co sędzia rzeczywiście wiedział i mógł uczynić wcześniej.</w:t>
      </w:r>
    </w:p>
    <w:p w14:paraId="4E7C6F81" w14:textId="77777777" w:rsidR="001F756E" w:rsidRPr="001F756E" w:rsidRDefault="001F756E" w:rsidP="001F756E">
      <w:pPr>
        <w:pStyle w:val="a3"/>
        <w:rPr>
          <w:rFonts w:ascii="Courier New" w:hAnsi="Courier New" w:cs="Courier New"/>
        </w:rPr>
      </w:pPr>
    </w:p>
    <w:p w14:paraId="16CE8FF1" w14:textId="77777777" w:rsidR="001F756E" w:rsidRPr="001F756E" w:rsidRDefault="001F756E" w:rsidP="001F756E">
      <w:pPr>
        <w:keepNext/>
        <w:spacing w:before="200" w:after="120"/>
      </w:pPr>
      <w:r>
        <w:rPr>
          <w:rFonts w:asciiTheme="majorHAnsi" w:hAnsiTheme="majorHAnsi"/>
          <w:b/>
          <w:color w:val="1F4E79"/>
          <w:sz w:val="24"/>
          <w:szCs w:val="24"/>
          <w:lang w:val="pl-PL"/>
        </w:rPr>
        <w:t xml:space="preserve">6. Co projekt lepiej reguluje</w:t>
      </w:r>
    </w:p>
    <w:p w14:paraId="0D74CF7E" w14:textId="77777777" w:rsidR="001F756E" w:rsidRPr="001F756E" w:rsidRDefault="001F756E" w:rsidP="001F756E">
      <w:pPr>
        <w:pStyle w:val="a3"/>
        <w:rPr>
          <w:rFonts w:ascii="Courier New" w:hAnsi="Courier New" w:cs="Courier New"/>
        </w:rPr>
      </w:pPr>
    </w:p>
    <w:p w14:paraId="5548DE6D" w14:textId="77777777" w:rsidR="001F756E" w:rsidRPr="001F756E" w:rsidRDefault="001F756E" w:rsidP="001F756E">
      <w:pPr>
        <w:spacing w:after="160" w:line="264" w:lineRule="auto"/>
        <w:jc w:val="both"/>
      </w:pPr>
      <w:r>
        <w:rPr>
          <w:lang w:val="pl-PL"/>
        </w:rPr>
        <w:t xml:space="preserve">Projekt alternatywny lepiej reguluje relację między ustawą procesową, statusowymi obowiązkami sędziego a zasadami obiegu dokumentów sądowych.</w:t>
      </w:r>
    </w:p>
    <w:p w14:paraId="6789EAA4" w14:textId="77777777" w:rsidR="001F756E" w:rsidRPr="001F756E" w:rsidRDefault="001F756E" w:rsidP="001F756E">
      <w:pPr>
        <w:pStyle w:val="a3"/>
        <w:rPr>
          <w:rFonts w:ascii="Courier New" w:hAnsi="Courier New" w:cs="Courier New"/>
        </w:rPr>
      </w:pPr>
    </w:p>
    <w:p w14:paraId="30FB76C3" w14:textId="77777777" w:rsidR="001F756E" w:rsidRPr="001F756E" w:rsidRDefault="001F756E" w:rsidP="001F756E">
      <w:pPr>
        <w:spacing w:after="160" w:line="264" w:lineRule="auto"/>
        <w:jc w:val="both"/>
      </w:pPr>
      <w:r>
        <w:rPr>
          <w:lang w:val="pl-PL"/>
        </w:rPr>
        <w:t xml:space="preserve">Nie neguje on znaczenia Regulaminu nr 30. Zasady obiegu dokumentów mogą mieć znaczenie dla oceny należytej organizacji pracy sędziego sprawozdawcy. Mogą one wskazywać, jaki mechanizm organizacyjny był dostępny w celu przekazania informacji lub zainicjowania zastąpienia sędziego.</w:t>
      </w:r>
    </w:p>
    <w:p w14:paraId="3A07E0DF" w14:textId="77777777" w:rsidR="001F756E" w:rsidRPr="001F756E" w:rsidRDefault="001F756E" w:rsidP="001F756E">
      <w:pPr>
        <w:pStyle w:val="a3"/>
        <w:rPr>
          <w:rFonts w:ascii="Courier New" w:hAnsi="Courier New" w:cs="Courier New"/>
        </w:rPr>
      </w:pPr>
    </w:p>
    <w:p w14:paraId="5B4A902B" w14:textId="77777777" w:rsidR="001F756E" w:rsidRPr="001F756E" w:rsidRDefault="001F756E" w:rsidP="001F756E">
      <w:pPr>
        <w:spacing w:after="160" w:line="264" w:lineRule="auto"/>
        <w:jc w:val="both"/>
      </w:pPr>
      <w:r>
        <w:rPr>
          <w:lang w:val="pl-PL"/>
        </w:rPr>
        <w:t xml:space="preserve">Jednocześnie projekt jasno wskazuje, że zasady te nie mogą automatycznie zastępować przepisów prawa procesowego. Jeżeli WRS powołuje się na niewykonanie zasady organizacyjnej, powinna wyjaśnić, w jaki sposób zasada ta wiąże się z normą procesową, statusowym obowiązkiem sędziego, istotnością naruszenia, skutkami oraz związkiem przyczynowym.</w:t>
      </w:r>
    </w:p>
    <w:p w14:paraId="5689B48F" w14:textId="77777777" w:rsidR="001F756E" w:rsidRPr="001F756E" w:rsidRDefault="001F756E" w:rsidP="001F756E">
      <w:pPr>
        <w:pStyle w:val="a3"/>
        <w:rPr>
          <w:rFonts w:ascii="Courier New" w:hAnsi="Courier New" w:cs="Courier New"/>
        </w:rPr>
      </w:pPr>
    </w:p>
    <w:p w14:paraId="7BE0C436" w14:textId="77777777" w:rsidR="001F756E" w:rsidRPr="001F756E" w:rsidRDefault="001F756E" w:rsidP="001F756E">
      <w:pPr>
        <w:spacing w:after="160" w:line="264" w:lineRule="auto"/>
        <w:jc w:val="both"/>
      </w:pPr>
      <w:r>
        <w:rPr>
          <w:lang w:val="pl-PL"/>
        </w:rPr>
        <w:t xml:space="preserve">Ma to istotne znaczenie dla jednolitości praktyki. Bez takiego rozgraniczenia odpowiedzialność dyscyplinarna mogłaby stać się nadmiernie szeroka: każde uchybienie organizacyjne mogłoby zostać uznane za istotne naruszenie procesowe. Projekt alternatywny zapobiega takiemu rozszerzeniu, nie wykluczając jednocześnie odpowiedzialności tam, gdzie bezczynność organizacyjna rzeczywiście spowodowała istotne skutki procesowe.</w:t>
      </w:r>
    </w:p>
    <w:p w14:paraId="78D44BE4" w14:textId="77777777" w:rsidR="001F756E" w:rsidRPr="001F756E" w:rsidRDefault="001F756E" w:rsidP="001F756E">
      <w:pPr>
        <w:pStyle w:val="a3"/>
        <w:rPr>
          <w:rFonts w:ascii="Courier New" w:hAnsi="Courier New" w:cs="Courier New"/>
        </w:rPr>
      </w:pPr>
    </w:p>
    <w:p w14:paraId="037068D6" w14:textId="77777777" w:rsidR="001F756E" w:rsidRPr="001F756E" w:rsidRDefault="001F756E" w:rsidP="001F756E">
      <w:pPr>
        <w:keepNext/>
        <w:spacing w:before="200" w:after="120"/>
      </w:pPr>
      <w:r>
        <w:rPr>
          <w:rFonts w:asciiTheme="majorHAnsi" w:hAnsiTheme="majorHAnsi"/>
          <w:b/>
          <w:color w:val="1F4E79"/>
          <w:sz w:val="24"/>
          <w:szCs w:val="24"/>
          <w:lang w:val="pl-PL"/>
        </w:rPr>
        <w:t xml:space="preserve">7. Dlaczego to podejście lepiej chroni zarówno niezawisłość sędziego, jak i należytą odpowiedzialność dyscyplinarną</w:t>
      </w:r>
    </w:p>
    <w:p w14:paraId="0A7288BA" w14:textId="77777777" w:rsidR="001F756E" w:rsidRPr="001F756E" w:rsidRDefault="001F756E" w:rsidP="001F756E">
      <w:pPr>
        <w:pStyle w:val="a3"/>
        <w:rPr>
          <w:rFonts w:ascii="Courier New" w:hAnsi="Courier New" w:cs="Courier New"/>
        </w:rPr>
      </w:pPr>
    </w:p>
    <w:p w14:paraId="66F3F6C6" w14:textId="77777777" w:rsidR="001F756E" w:rsidRPr="001F756E" w:rsidRDefault="001F756E" w:rsidP="001F756E">
      <w:pPr>
        <w:spacing w:after="160" w:line="264" w:lineRule="auto"/>
        <w:jc w:val="both"/>
      </w:pPr>
      <w:r>
        <w:rPr>
          <w:lang w:val="pl-PL"/>
        </w:rPr>
        <w:t xml:space="preserve">Niezawisłość sędziego wymaga ochrony przed karą dyscyplinarną za złożone sytuacje procesowe, niejednoznaczną wykładnię przepisów lub negatywny wynik, któremu sędzia realnie nie mógł zapobiec. Właśnie dlatego projekt alternatywny wymaga ustalenia konkretnego obowiązku, możliwości jego wykonania, winy, skutków i związku przyczynowego.</w:t>
      </w:r>
    </w:p>
    <w:p w14:paraId="384EF467" w14:textId="77777777" w:rsidR="001F756E" w:rsidRPr="001F756E" w:rsidRDefault="001F756E" w:rsidP="001F756E">
      <w:pPr>
        <w:pStyle w:val="a3"/>
        <w:rPr>
          <w:rFonts w:ascii="Courier New" w:hAnsi="Courier New" w:cs="Courier New"/>
        </w:rPr>
      </w:pPr>
    </w:p>
    <w:p w14:paraId="4802F187" w14:textId="77777777" w:rsidR="001F756E" w:rsidRPr="001F756E" w:rsidRDefault="001F756E" w:rsidP="001F756E">
      <w:pPr>
        <w:spacing w:after="160" w:line="264" w:lineRule="auto"/>
        <w:jc w:val="both"/>
      </w:pPr>
      <w:r>
        <w:rPr>
          <w:lang w:val="pl-PL"/>
        </w:rPr>
        <w:t xml:space="preserve">Jednocześnie niezawisłość sędziego nie oznacza braku odpowiedzialności za niedbałą organizację procesu w sytuacjach krytycznych. Jeżeli sędzia wie o terminie, którego uchybienie może mieć istotne skutki, i przed wyłączeniem się ze sprawy ma realną możliwość poinformowania właściwych osób, takie zachowanie może być przedmiotem oceny dyscyplinarnej.</w:t>
      </w:r>
    </w:p>
    <w:p w14:paraId="33F8A747" w14:textId="77777777" w:rsidR="001F756E" w:rsidRPr="001F756E" w:rsidRDefault="001F756E" w:rsidP="001F756E">
      <w:pPr>
        <w:pStyle w:val="a3"/>
        <w:rPr>
          <w:rFonts w:ascii="Courier New" w:hAnsi="Courier New" w:cs="Courier New"/>
        </w:rPr>
      </w:pPr>
    </w:p>
    <w:p w14:paraId="65362376" w14:textId="77777777" w:rsidR="001F756E" w:rsidRPr="001F756E" w:rsidRDefault="001F756E" w:rsidP="001F756E">
      <w:pPr>
        <w:spacing w:after="160" w:line="264" w:lineRule="auto"/>
        <w:jc w:val="both"/>
      </w:pPr>
      <w:r>
        <w:rPr>
          <w:lang w:val="pl-PL"/>
        </w:rPr>
        <w:t xml:space="preserve">Dlatego projekt alternatywny lepiej chroni obie wartości. Nie pozwala on karać sędziego wyłącznie za wynik, lecz nie stwarza również wrażenia, że urlop, zwolnienie lekarskie lub samoizolacja automatycznie usuwają wszelkie pytania dotyczące wcześniejszego zachowania sędziego.</w:t>
      </w:r>
    </w:p>
    <w:p w14:paraId="68FB4972" w14:textId="77777777" w:rsidR="001F756E" w:rsidRPr="001F756E" w:rsidRDefault="001F756E" w:rsidP="001F756E">
      <w:pPr>
        <w:pStyle w:val="a3"/>
        <w:rPr>
          <w:rFonts w:ascii="Courier New" w:hAnsi="Courier New" w:cs="Courier New"/>
        </w:rPr>
      </w:pPr>
    </w:p>
    <w:p w14:paraId="0B3D839E" w14:textId="77777777" w:rsidR="001F756E" w:rsidRPr="001F756E" w:rsidRDefault="001F756E" w:rsidP="001F756E">
      <w:pPr>
        <w:spacing w:after="160" w:line="264" w:lineRule="auto"/>
        <w:jc w:val="both"/>
      </w:pPr>
      <w:r>
        <w:rPr>
          <w:lang w:val="pl-PL"/>
        </w:rPr>
        <w:t xml:space="preserve">W rezultacie projekt jest bardziej wyważony niż obowiązujące postanowienie i zdanie odrębne rozpatrywane osobno. Podtrzymuje on prawidłowy wynik obowiązującego postanowienia, uwzględnia istotny argument zdania odrębnego, a jednocześnie kształtuje stanowisko prawne zdolne zapewnić bardziej spójną, przewidywalną i sprawiedliwą praktykę w przyszłych sprawach dyscyplinarnych dotyczących sędziów.</w:t>
      </w:r>
    </w:p>
    <w:p w14:paraId="51EEF8C6" w14:textId="77777777" w:rsidR="001F756E" w:rsidRPr="001F756E" w:rsidRDefault="001F756E" w:rsidP="001F756E">
      <w:pPr>
        <w:pStyle w:val="a3"/>
        <w:rPr>
          <w:rFonts w:ascii="Courier New" w:hAnsi="Courier New" w:cs="Courier New"/>
        </w:rPr>
      </w:pPr>
    </w:p>
    <w:sectPr w:rsidR="001F756E" w:rsidRPr="001F756E" w:rsidSect="0024074A">
      <w:headerReference w:type="default" r:id="rId6"/>
      <w:pgSz w:w="11906" w:h="16838"/>
      <w:pgMar w:top="850" w:right="1335" w:bottom="850" w:left="13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0762D" w14:textId="77777777" w:rsidR="00C1726C" w:rsidRDefault="00C1726C" w:rsidP="0024074A">
      <w:pPr>
        <w:spacing w:after="0" w:line="240" w:lineRule="auto"/>
      </w:pPr>
      <w:r>
        <w:separator/>
      </w:r>
    </w:p>
  </w:endnote>
  <w:endnote w:type="continuationSeparator" w:id="0">
    <w:p w14:paraId="7FA0288D" w14:textId="77777777" w:rsidR="00C1726C" w:rsidRDefault="00C1726C" w:rsidP="00240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87063" w14:textId="77777777" w:rsidR="00C1726C" w:rsidRDefault="00C1726C" w:rsidP="0024074A">
      <w:pPr>
        <w:spacing w:after="0" w:line="240" w:lineRule="auto"/>
      </w:pPr>
      <w:r>
        <w:separator/>
      </w:r>
    </w:p>
  </w:footnote>
  <w:footnote w:type="continuationSeparator" w:id="0">
    <w:p w14:paraId="3B215E1D" w14:textId="77777777" w:rsidR="00C1726C" w:rsidRDefault="00C1726C" w:rsidP="00240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820768"/>
      <w:docPartObj>
        <w:docPartGallery w:val="Page Numbers (Top of Page)"/>
        <w:docPartUnique/>
      </w:docPartObj>
    </w:sdtPr>
    <w:sdtContent>
      <w:p w14:paraId="771DE408" w14:textId="3FDF402D" w:rsidR="0024074A" w:rsidRDefault="0024074A">
        <w:pPr>
          <w:pStyle w:val="a5"/>
          <w:jc w:val="center"/>
        </w:pPr>
        <w:r>
          <w:fldChar w:fldCharType="begin"/>
        </w:r>
        <w:r>
          <w:instrText>PAGE   \* MERGEFORMAT</w:instrText>
        </w:r>
        <w:r>
          <w:fldChar w:fldCharType="separate"/>
        </w:r>
        <w:r>
          <w:t>2</w:t>
        </w:r>
        <w:r>
          <w:fldChar w:fldCharType="end"/>
        </w:r>
      </w:p>
    </w:sdtContent>
  </w:sdt>
  <w:p w14:paraId="633E9007" w14:textId="77777777" w:rsidR="0024074A" w:rsidRDefault="0024074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BF3"/>
    <w:rsid w:val="000A4115"/>
    <w:rsid w:val="001F756E"/>
    <w:rsid w:val="0024074A"/>
    <w:rsid w:val="003B02D9"/>
    <w:rsid w:val="00956BF3"/>
    <w:rsid w:val="00B85D6E"/>
    <w:rsid w:val="00C1726C"/>
    <w:rsid w:val="00DD2283"/>
    <w:rsid w:val="00F230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E500"/>
  <w15:chartTrackingRefBased/>
  <w15:docId w15:val="{4C82B2C0-B520-43F1-AD3B-031CE0144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EC082B"/>
    <w:pPr>
      <w:spacing w:after="0" w:line="240" w:lineRule="auto"/>
    </w:pPr>
    <w:rPr>
      <w:rFonts w:ascii="Consolas" w:hAnsi="Consolas"/>
      <w:sz w:val="21"/>
      <w:szCs w:val="21"/>
    </w:rPr>
  </w:style>
  <w:style w:type="character" w:customStyle="1" w:styleId="a4">
    <w:name w:val="Текст Знак"/>
    <w:basedOn w:val="a0"/>
    <w:link w:val="a3"/>
    <w:uiPriority w:val="99"/>
    <w:rsid w:val="00EC082B"/>
    <w:rPr>
      <w:rFonts w:ascii="Consolas" w:hAnsi="Consolas"/>
      <w:sz w:val="21"/>
      <w:szCs w:val="21"/>
    </w:rPr>
  </w:style>
  <w:style w:type="paragraph" w:styleId="a5">
    <w:name w:val="header"/>
    <w:basedOn w:val="a"/>
    <w:link w:val="a6"/>
    <w:uiPriority w:val="99"/>
    <w:unhideWhenUsed/>
    <w:rsid w:val="0024074A"/>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24074A"/>
  </w:style>
  <w:style w:type="paragraph" w:styleId="a7">
    <w:name w:val="footer"/>
    <w:basedOn w:val="a"/>
    <w:link w:val="a8"/>
    <w:uiPriority w:val="99"/>
    <w:unhideWhenUsed/>
    <w:rsid w:val="0024074A"/>
    <w:pPr>
      <w:tabs>
        <w:tab w:val="center" w:pos="4819"/>
        <w:tab w:val="right" w:pos="9639"/>
      </w:tabs>
      <w:spacing w:after="0" w:line="240" w:lineRule="auto"/>
    </w:pPr>
  </w:style>
  <w:style w:type="character" w:customStyle="1" w:styleId="a8">
    <w:name w:val="Нижній колонтитул Знак"/>
    <w:basedOn w:val="a0"/>
    <w:link w:val="a7"/>
    <w:uiPriority w:val="99"/>
    <w:rsid w:val="00240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5740</Words>
  <Characters>3273</Characters>
  <Application>Microsoft Office Word</Application>
  <DocSecurity>0</DocSecurity>
  <Lines>27</Lines>
  <Paragraphs>17</Paragraphs>
  <ScaleCrop>false</ScaleCrop>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Гаврилюк</dc:creator>
  <cp:keywords/>
  <dc:description/>
  <cp:lastModifiedBy>Олександр Гаврилюк</cp:lastModifiedBy>
  <cp:revision>2</cp:revision>
  <dcterms:created xsi:type="dcterms:W3CDTF">2026-06-19T10:57:00Z</dcterms:created>
  <dcterms:modified xsi:type="dcterms:W3CDTF">2026-06-19T10:57:00Z</dcterms:modified>
</cp:coreProperties>
</file>